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Yucca filamentosa</w:t>
      </w:r>
    </w:p>
    <w:p>
      <w:pPr>
        <w:spacing w:after="320"/>
      </w:pPr>
      <w:r>
        <w:t>Combined Information Sheets</w:t>
      </w:r>
    </w:p>
    <w:p>
      <w:pPr>
        <w:pStyle w:val="Heading1"/>
      </w:pPr>
      <w:r>
        <w:t>Yucca filamentosa</w:t>
      </w:r>
    </w:p>
    <w:p>
      <w:r>
        <w:rPr>
          <w:b/>
        </w:rPr>
        <w:t xml:space="preserve">Online Information Sheet: </w:t>
      </w:r>
      <w:hyperlink r:id="rId11">
        <w:r>
          <w:rPr>
            <w:color w:val="245B43"/>
            <w:u w:val="single"/>
          </w:rPr>
          <w:t>planteducationproject.com/yucca-filamentosa/</w:t>
        </w:r>
      </w:hyperlink>
    </w:p>
    <w:p>
      <w:r>
        <w:rPr>
          <w:b w:val="0"/>
          <w:i w:val="0"/>
        </w:rPr>
        <w:t>🌿 Plant Information Sheet</w:t>
      </w:r>
    </w:p>
    <w:p>
      <w:pPr>
        <w:pStyle w:val="Heading2"/>
      </w:pPr>
      <w:r>
        <w:t>Yucca filamentosa  •  Adam’s Needle / Common Yucca</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Not verified. A county-specific native record is needed; state occurrence alone is insufficient.</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Yes.</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Can spread through offsets; native in parts of the United States. County nativity remains unverified.</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flowering, pollination and seedling conditions must all be suitable. Vegetative propagation is more dependable in ordinary home culture.</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Sharp leaf tips can injure. Saponins can harm pets. Traditional edible uses require positive species identification and proper preparation; this is not cassava.</w:t>
            </w:r>
          </w:p>
        </w:tc>
      </w:tr>
    </w:tbl>
    <w:p>
      <w:pPr>
        <w:spacing w:after="20"/>
      </w:pPr>
    </w:p>
    <w:p>
      <w:r>
        <w:rPr>
          <w:b w:val="0"/>
          <w:i/>
        </w:rPr>
        <w:t>To understand the care of a plant, understand its native climate and environment.</w:t>
      </w:r>
    </w:p>
    <w:p>
      <w:pPr>
        <w:pStyle w:val="Heading2"/>
      </w:pPr>
      <w:r>
        <w:t>IDENTIFICATION &amp; HABIT</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Form</w:t>
            </w:r>
          </w:p>
        </w:tc>
        <w:tc>
          <w:tcPr>
            <w:tcW w:type="dxa" w:w="5083"/>
            <w:vAlign w:val="center"/>
            <w:shd w:fill="E9EDF0"/>
          </w:tcPr>
          <w:p>
            <w:pPr>
              <w:spacing w:after="60"/>
            </w:pPr>
            <w:r>
              <w:rPr>
                <w:b/>
                <w:i/>
                <w:sz w:val="22"/>
              </w:rPr>
              <w:t>Evergreen, clumping basal rosettes of rigid, sword-like leaves.</w:t>
            </w:r>
          </w:p>
        </w:tc>
      </w:tr>
      <w:tr>
        <w:trPr>
          <w:cantSplit/>
        </w:trPr>
        <w:tc>
          <w:tcPr>
            <w:tcW w:type="dxa" w:w="5083"/>
            <w:vAlign w:val="center"/>
            <w:shd w:fill="FFFFFF"/>
          </w:tcPr>
          <w:p>
            <w:pPr>
              <w:spacing w:after="60"/>
            </w:pPr>
            <w:r>
              <w:rPr>
                <w:b/>
                <w:i/>
                <w:sz w:val="22"/>
              </w:rPr>
              <w:t>Key identifier</w:t>
            </w:r>
          </w:p>
        </w:tc>
        <w:tc>
          <w:tcPr>
            <w:tcW w:type="dxa" w:w="5083"/>
            <w:vAlign w:val="center"/>
            <w:shd w:fill="FFFFFF"/>
          </w:tcPr>
          <w:p>
            <w:pPr>
              <w:spacing w:after="60"/>
            </w:pPr>
            <w:r>
              <w:rPr>
                <w:b w:val="0"/>
                <w:i/>
                <w:sz w:val="22"/>
              </w:rPr>
              <w:t>Curly white threads peel from the leaf margins; mature leaf tips are sharp.</w:t>
            </w:r>
          </w:p>
        </w:tc>
      </w:tr>
      <w:tr>
        <w:trPr>
          <w:cantSplit/>
        </w:trPr>
        <w:tc>
          <w:tcPr>
            <w:tcW w:type="dxa" w:w="5083"/>
            <w:vAlign w:val="center"/>
            <w:shd w:fill="FFFFFF"/>
          </w:tcPr>
          <w:p>
            <w:pPr>
              <w:spacing w:after="60"/>
            </w:pPr>
            <w:r>
              <w:rPr>
                <w:b/>
                <w:i/>
                <w:sz w:val="22"/>
              </w:rPr>
              <w:t>Flowers</w:t>
            </w:r>
          </w:p>
        </w:tc>
        <w:tc>
          <w:tcPr>
            <w:tcW w:type="dxa" w:w="5083"/>
            <w:vAlign w:val="center"/>
            <w:shd w:fill="FFFFFF"/>
          </w:tcPr>
          <w:p>
            <w:pPr>
              <w:spacing w:after="60"/>
            </w:pPr>
            <w:r>
              <w:rPr>
                <w:b w:val="0"/>
                <w:i/>
                <w:sz w:val="22"/>
              </w:rPr>
              <w:t>Large white to creamy, nodding/bell-shaped flowers on a tall stalk; typically late spring to early summer.</w:t>
            </w:r>
          </w:p>
        </w:tc>
      </w:tr>
      <w:tr>
        <w:trPr>
          <w:cantSplit/>
        </w:trPr>
        <w:tc>
          <w:tcPr>
            <w:tcW w:type="dxa" w:w="5083"/>
            <w:vAlign w:val="center"/>
            <w:shd w:fill="FFFFFF"/>
          </w:tcPr>
          <w:p>
            <w:pPr>
              <w:spacing w:after="60"/>
            </w:pPr>
            <w:r>
              <w:rPr>
                <w:b/>
                <w:i/>
                <w:sz w:val="22"/>
              </w:rPr>
              <w:t>Size</w:t>
            </w:r>
          </w:p>
        </w:tc>
        <w:tc>
          <w:tcPr>
            <w:tcW w:type="dxa" w:w="5083"/>
            <w:vAlign w:val="center"/>
            <w:shd w:fill="FFFFFF"/>
          </w:tcPr>
          <w:p>
            <w:pPr>
              <w:spacing w:after="60"/>
            </w:pPr>
            <w:r>
              <w:rPr>
                <w:b w:val="0"/>
                <w:i/>
                <w:sz w:val="22"/>
              </w:rPr>
              <w:t>Usually about 3–5 ft wide; flowering stalks commonly reach 5–8 ft.</w:t>
            </w:r>
          </w:p>
        </w:tc>
      </w:tr>
      <w:tr>
        <w:trPr>
          <w:cantSplit/>
        </w:trPr>
        <w:tc>
          <w:tcPr>
            <w:tcW w:type="dxa" w:w="5083"/>
            <w:vAlign w:val="center"/>
            <w:shd w:fill="FFFFFF"/>
          </w:tcPr>
          <w:p>
            <w:pPr>
              <w:spacing w:after="60"/>
            </w:pPr>
            <w:r>
              <w:rPr>
                <w:b/>
                <w:i/>
                <w:sz w:val="22"/>
              </w:rPr>
              <w:t>Longevity</w:t>
            </w:r>
          </w:p>
        </w:tc>
        <w:tc>
          <w:tcPr>
            <w:tcW w:type="dxa" w:w="5083"/>
            <w:vAlign w:val="center"/>
            <w:shd w:fill="FFFFFF"/>
          </w:tcPr>
          <w:p>
            <w:pPr>
              <w:spacing w:after="60"/>
            </w:pPr>
            <w:r>
              <w:rPr>
                <w:b w:val="0"/>
                <w:i/>
                <w:sz w:val="22"/>
              </w:rPr>
              <w:t>Long-lived clumps continually produce new rosettes. A rosette flowers once, while offsets maintain the clump.</w:t>
            </w:r>
          </w:p>
        </w:tc>
      </w:tr>
    </w:tbl>
    <w:p>
      <w:pPr>
        <w:spacing w:after="20"/>
      </w:pPr>
    </w:p>
    <w:p>
      <w:pPr>
        <w:pStyle w:val="Heading2"/>
      </w:pPr>
      <w:r>
        <w:t>CARE 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LIGHT</w:t>
            </w:r>
          </w:p>
        </w:tc>
        <w:tc>
          <w:tcPr>
            <w:tcW w:type="dxa" w:w="5083"/>
            <w:vAlign w:val="center"/>
            <w:shd w:fill="E9EDF0"/>
          </w:tcPr>
          <w:p>
            <w:pPr>
              <w:spacing w:after="60"/>
            </w:pPr>
            <w:r>
              <w:rPr>
                <w:b/>
                <w:i/>
                <w:sz w:val="22"/>
              </w:rPr>
              <w:t>Full sun is preferred; partial shade is tolerated.</w:t>
            </w:r>
          </w:p>
        </w:tc>
      </w:tr>
      <w:tr>
        <w:trPr>
          <w:cantSplit/>
        </w:trPr>
        <w:tc>
          <w:tcPr>
            <w:tcW w:type="dxa" w:w="5083"/>
            <w:vAlign w:val="center"/>
            <w:shd w:fill="FFFFFF"/>
          </w:tcPr>
          <w:p>
            <w:pPr>
              <w:spacing w:after="60"/>
            </w:pPr>
            <w:r>
              <w:rPr>
                <w:b/>
                <w:i/>
                <w:sz w:val="22"/>
              </w:rPr>
              <w:t>SOIL</w:t>
            </w:r>
          </w:p>
        </w:tc>
        <w:tc>
          <w:tcPr>
            <w:tcW w:type="dxa" w:w="5083"/>
            <w:vAlign w:val="center"/>
            <w:shd w:fill="FFFFFF"/>
          </w:tcPr>
          <w:p>
            <w:pPr>
              <w:spacing w:after="60"/>
            </w:pPr>
            <w:r>
              <w:rPr>
                <w:b w:val="0"/>
                <w:i w:val="0"/>
                <w:sz w:val="22"/>
              </w:rPr>
              <w:t>Prairie Standard Mix: 2 parts generic potting soil + 1 part coarse perlite + 1 part granite chicken grit, by volume.</w:t>
            </w:r>
          </w:p>
        </w:tc>
      </w:tr>
      <w:tr>
        <w:trPr>
          <w:cantSplit/>
        </w:trPr>
        <w:tc>
          <w:tcPr>
            <w:tcW w:type="dxa" w:w="5083"/>
            <w:vAlign w:val="center"/>
            <w:shd w:fill="FFFFFF"/>
          </w:tcPr>
          <w:p>
            <w:pPr>
              <w:spacing w:after="60"/>
            </w:pPr>
            <w:r>
              <w:rPr>
                <w:b/>
                <w:i/>
                <w:sz w:val="22"/>
              </w:rPr>
              <w:t>WATER</w:t>
            </w:r>
          </w:p>
        </w:tc>
        <w:tc>
          <w:tcPr>
            <w:tcW w:type="dxa" w:w="5083"/>
            <w:vAlign w:val="center"/>
            <w:shd w:fill="FFFFFF"/>
          </w:tcPr>
          <w:p>
            <w:pPr>
              <w:spacing w:after="60"/>
            </w:pPr>
            <w:r>
              <w:rPr>
                <w:b w:val="0"/>
                <w:i/>
                <w:sz w:val="22"/>
              </w:rPr>
              <w:t>Drought tolerant once established. Avoid chronically wet soil.</w:t>
            </w:r>
          </w:p>
        </w:tc>
      </w:tr>
      <w:tr>
        <w:trPr>
          <w:cantSplit/>
        </w:trPr>
        <w:tc>
          <w:tcPr>
            <w:tcW w:type="dxa" w:w="5083"/>
            <w:vAlign w:val="center"/>
            <w:shd w:fill="FFFFFF"/>
          </w:tcPr>
          <w:p>
            <w:pPr>
              <w:spacing w:after="60"/>
            </w:pPr>
            <w:r>
              <w:rPr>
                <w:b/>
                <w:i/>
                <w:sz w:val="22"/>
              </w:rPr>
              <w:t>HARDINESS</w:t>
            </w:r>
          </w:p>
        </w:tc>
        <w:tc>
          <w:tcPr>
            <w:tcW w:type="dxa" w:w="5083"/>
            <w:vAlign w:val="center"/>
            <w:shd w:fill="FFFFFF"/>
          </w:tcPr>
          <w:p>
            <w:pPr>
              <w:spacing w:after="60"/>
            </w:pPr>
            <w:r>
              <w:rPr>
                <w:b w:val="0"/>
                <w:i/>
                <w:sz w:val="22"/>
              </w:rPr>
              <w:t>Cold-hardy enough for much of the eastern U.S.; NC State lists USDA Zones 4–10.</w:t>
            </w:r>
          </w:p>
        </w:tc>
      </w:tr>
      <w:tr>
        <w:trPr>
          <w:cantSplit/>
        </w:trPr>
        <w:tc>
          <w:tcPr>
            <w:tcW w:type="dxa" w:w="5083"/>
            <w:vAlign w:val="center"/>
            <w:shd w:fill="FFFFFF"/>
          </w:tcPr>
          <w:p>
            <w:pPr>
              <w:spacing w:after="60"/>
            </w:pPr>
            <w:r>
              <w:rPr>
                <w:b/>
                <w:i/>
                <w:sz w:val="22"/>
              </w:rPr>
              <w:t>FEEDING</w:t>
            </w:r>
          </w:p>
        </w:tc>
        <w:tc>
          <w:tcPr>
            <w:tcW w:type="dxa" w:w="5083"/>
            <w:vAlign w:val="center"/>
            <w:shd w:fill="FFFFFF"/>
          </w:tcPr>
          <w:p>
            <w:pPr>
              <w:spacing w:after="60"/>
            </w:pPr>
            <w:r>
              <w:rPr>
                <w:b w:val="0"/>
                <w:i/>
                <w:sz w:val="22"/>
              </w:rPr>
              <w:t>Little fertilizer is normally needed; overly rich soil is unnecessary.</w:t>
            </w:r>
          </w:p>
        </w:tc>
      </w:tr>
      <w:tr>
        <w:trPr>
          <w:cantSplit/>
        </w:trPr>
        <w:tc>
          <w:tcPr>
            <w:tcW w:type="dxa" w:w="5083"/>
            <w:vAlign w:val="center"/>
            <w:shd w:fill="FFFFFF"/>
          </w:tcPr>
          <w:p>
            <w:pPr>
              <w:spacing w:after="60"/>
            </w:pPr>
            <w:r>
              <w:rPr>
                <w:b/>
                <w:i/>
                <w:sz w:val="22"/>
              </w:rPr>
              <w:t>PROPAGATION</w:t>
            </w:r>
          </w:p>
        </w:tc>
        <w:tc>
          <w:tcPr>
            <w:tcW w:type="dxa" w:w="5083"/>
            <w:vAlign w:val="center"/>
            <w:shd w:fill="FFFFFF"/>
          </w:tcPr>
          <w:p>
            <w:pPr>
              <w:spacing w:after="60"/>
            </w:pPr>
            <w:r>
              <w:rPr>
                <w:b w:val="0"/>
                <w:i/>
                <w:sz w:val="22"/>
              </w:rPr>
              <w:t>Division is easy. Root cuttings and seed are also used.</w:t>
            </w:r>
          </w:p>
        </w:tc>
      </w:tr>
    </w:tbl>
    <w:p>
      <w:pPr>
        <w:spacing w:after="20"/>
      </w:pPr>
    </w:p>
    <w:p>
      <w:pPr>
        <w:pStyle w:val="Heading2"/>
      </w:pPr>
      <w:r>
        <w:t>NATIVE ENVIRONMENT</w:t>
      </w:r>
    </w:p>
    <w:p>
      <w:r>
        <w:rPr>
          <w:b/>
          <w:i/>
        </w:rPr>
        <w:t>Native to the southeastern United States. Natural habitats include dry sandy or rocky open woods, dunes and maritime edges, barrens, flatrock margins, slopes and other sunny, well-drained sites. The uploaded Naturalist article emphasizes sandy/dry ground, gravel and depleted soils with little competition from taller plants.</w:t>
      </w:r>
    </w:p>
    <w:p>
      <w:pPr>
        <w:pStyle w:val="Heading2"/>
      </w:pPr>
      <w:r>
        <w:t>ECOLOGY</w:t>
      </w:r>
    </w:p>
    <w:p>
      <w:r>
        <w:rPr>
          <w:b/>
          <w:i/>
        </w:rPr>
        <w:t>Yucca has a famous obligate mutualism with yucca moths: the moth pollinates the flowers and its larvae consume some, but not all, developing seeds. The tough evergreen leaves, extensive clumping habit, drought tolerance and resistance to heat and salt spray fit its dry, exposed habitats.</w:t>
      </w:r>
    </w:p>
    <w:p>
      <w:pPr>
        <w:pStyle w:val="Heading2"/>
      </w:pPr>
      <w:r>
        <w:t>TRADITIONAL / PRACTICAL USES</w:t>
      </w:r>
    </w:p>
    <w:p>
      <w:r>
        <w:rPr>
          <w:b/>
          <w:i/>
        </w:rPr>
        <w:t>The source article describes leaves used for strong fiber, cordage and weaving; roots rich in saponins used traditionally for soap/shampoo; and flowers as edible. Treat medicinal claims in the article as traditional-use claims rather than established clinical benefits.</w:t>
      </w:r>
    </w:p>
    <w:p>
      <w:pPr>
        <w:pStyle w:val="Heading2"/>
      </w:pPr>
      <w:r>
        <w:t>CAUTION</w:t>
      </w:r>
    </w:p>
    <w:p>
      <w:r>
        <w:rPr>
          <w:b/>
          <w:i/>
        </w:rPr>
        <w:t>The mature leaf tips are sharp. Yucca is not cassava (“yuca”). Do not assume every Yucca species or every plant part is interchangeable for food or medicinal use; verify species and preparation before ingestion.</w:t>
      </w:r>
    </w:p>
    <w:p>
      <w:pPr>
        <w:pStyle w:val="Heading2"/>
      </w:pPr>
      <w:r>
        <w:t>SOURCES</w:t>
      </w:r>
    </w:p>
    <w:p>
      <w:r>
        <w:rPr>
          <w:b/>
          <w:i/>
        </w:rPr>
        <w:t>The Naturalist, “Yucca — Yucca filamentosa,” 14 Aug 2026 (uploaded source).</w:t>
      </w:r>
    </w:p>
    <w:p>
      <w:r>
        <w:rPr>
          <w:b/>
          <w:i/>
        </w:rPr>
        <w:t>NC State Extension Gardener Plant Toolbox — Yucca filamentosa.</w:t>
      </w:r>
    </w:p>
    <w:p>
      <w:r>
        <w:rPr>
          <w:b/>
          <w:i/>
        </w:rPr>
        <w:t>Vascular Plants of North Carolina — Yucca filamentosa habitat and phenology.</w:t>
      </w:r>
    </w:p>
    <w:p>
      <w:pPr>
        <w:pStyle w:val="Heading2"/>
      </w:pPr>
      <w:r>
        <w:t>Current Standard mix</w:t>
      </w:r>
    </w:p>
    <w:p>
      <w:r>
        <w:rPr>
          <w:b w:val="0"/>
          <w:i w:val="0"/>
        </w:rPr>
        <w:t>Prairie Standard Mix: 2 parts generic potting soil + 1 part coarse perlite + 1 part granite chicken grit, by volume.</w:t>
      </w:r>
    </w:p>
    <w:p>
      <w:r>
        <w:rPr>
          <w:b w:val="0"/>
          <w:i w:val="0"/>
        </w:rPr>
        <w:t>Mix by volume without compression and keep the drainage hole open. Match watering to the species and root-zone drying. These are container recipes, not replacements for outdoor bed soil.</w:t>
      </w:r>
    </w:p>
    <w:p>
      <w:hyperlink r:id="rId12">
        <w:r>
          <w:rPr>
            <w:color w:val="245B43"/>
            <w:u w:val="single"/>
          </w:rPr>
          <w:t>NC State Extension — yucca filamentosa</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yucca-filamentosa/" TargetMode="External"/><Relationship Id="rId12" Type="http://schemas.openxmlformats.org/officeDocument/2006/relationships/hyperlink" Target="https://plants.ces.ncsu.edu/plants/yucca-filamentosa/"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yucca filamentosa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