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White Snakeroot</w:t>
      </w:r>
    </w:p>
    <w:p>
      <w:pPr>
        <w:spacing w:after="320"/>
      </w:pPr>
      <w:r>
        <w:t>Combined Information Sheets</w:t>
      </w:r>
    </w:p>
    <w:p>
      <w:pPr>
        <w:pStyle w:val="Heading1"/>
      </w:pPr>
      <w:r>
        <w:t>White Snakeroot</w:t>
      </w:r>
    </w:p>
    <w:p>
      <w:r>
        <w:rPr>
          <w:b/>
        </w:rPr>
        <w:t xml:space="preserve">Online Information Sheet: </w:t>
      </w:r>
      <w:hyperlink r:id="rId11">
        <w:r>
          <w:rPr>
            <w:color w:val="245B43"/>
            <w:u w:val="single"/>
          </w:rPr>
          <w:t>planteducationproject.com/white-snakeroot/</w:t>
        </w:r>
      </w:hyperlink>
    </w:p>
    <w:p>
      <w:r>
        <w:rPr>
          <w:b w:val="0"/>
          <w:i w:val="0"/>
        </w:rPr>
        <w:t>🌿 Plant Information Sheet</w:t>
      </w:r>
    </w:p>
    <w:p>
      <w:r>
        <w:rPr>
          <w:b w:val="0"/>
          <w:i/>
        </w:rPr>
        <w:t>Ageratina altissima</w:t>
      </w:r>
      <w:r>
        <w:t xml:space="preserve">  |  White snakeroot</w:t>
      </w:r>
    </w:p>
    <w:p>
      <w:pPr>
        <w:jc w:val="center"/>
      </w:pPr>
      <w:r>
        <w:drawing>
          <wp:inline xmlns:a="http://schemas.openxmlformats.org/drawingml/2006/main" xmlns:pic="http://schemas.openxmlformats.org/drawingml/2006/picture">
            <wp:extent cx="5120640" cy="3840480"/>
            <wp:docPr id="1" name="Picture 1"/>
            <wp:cNvGraphicFramePr>
              <a:graphicFrameLocks noChangeAspect="1"/>
            </wp:cNvGraphicFramePr>
            <a:graphic>
              <a:graphicData uri="http://schemas.openxmlformats.org/drawingml/2006/picture">
                <pic:pic>
                  <pic:nvPicPr>
                    <pic:cNvPr id="0" name="987db5cf89d85ebe68a0a136.jpg"/>
                    <pic:cNvPicPr/>
                  </pic:nvPicPr>
                  <pic:blipFill>
                    <a:blip r:embed="rId12"/>
                    <a:stretch>
                      <a:fillRect/>
                    </a:stretch>
                  </pic:blipFill>
                  <pic:spPr>
                    <a:xfrm>
                      <a:off x="0" y="0"/>
                      <a:ext cx="5120640" cy="3840480"/>
                    </a:xfrm>
                    <a:prstGeom prst="rect"/>
                  </pic:spPr>
                </pic:pic>
              </a:graphicData>
            </a:graphic>
          </wp:inline>
        </w:drawing>
      </w:r>
    </w:p>
    <w:p>
      <w:pPr>
        <w:pStyle w:val="Caption"/>
      </w:pPr>
      <w:r>
        <w:rPr>
          <w:b w:val="0"/>
          <w:i w:val="0"/>
        </w:rPr>
        <w:t>Nonflowering foliage showing broad toothed leaves. Ground-grown cultivated specimen, Berlin Botanic Garden. Salicyna, CC BY-SA 4.0.</w:t>
      </w:r>
      <w:r>
        <w:br/>
      </w:r>
      <w:r>
        <w:t xml:space="preserve">Photograph: Salicyna · </w:t>
      </w:r>
      <w:hyperlink r:id="rId13">
        <w:r>
          <w:rPr>
            <w:color w:val="245B43"/>
            <w:u w:val="single"/>
          </w:rPr>
          <w:t>Original source</w:t>
        </w:r>
      </w:hyperlink>
      <w:r>
        <w:t xml:space="preserve"> · </w:t>
      </w:r>
      <w:hyperlink r:id="rId14">
        <w:r>
          <w:rPr>
            <w:color w:val="245B43"/>
            <w:u w:val="single"/>
          </w:rPr>
          <w:t>CC BY-SA 4.0</w:t>
        </w:r>
      </w:hyperlink>
      <w:r>
        <w:t>. Resized proportionally.</w:t>
      </w:r>
    </w:p>
    <w:p>
      <w:r>
        <w:rPr>
          <w:b w:val="0"/>
          <w:i w:val="0"/>
        </w:rPr>
        <w:t>White snakeroot is a native woodland perennial with late white flowers. Give it filtered light, an aerated root zone, and room for seedlings and spreading underground stems.</w:t>
      </w:r>
    </w:p>
    <w:p>
      <w:r>
        <w:rPr>
          <w:b/>
          <w:i w:val="0"/>
        </w:rPr>
        <w:t>POISONOUS IF EATEN.</w:t>
      </w:r>
      <w:r>
        <w:t xml:space="preserve"> No part is food. Keep plants and clippings away from livestock and animals that chew vegetation. Contaminated milk can poison people. [NC]</w:t>
      </w:r>
    </w:p>
    <w:p>
      <w:r>
        <w:rPr>
          <w:b w:val="0"/>
          <w:i/>
        </w:rPr>
        <w:t>To understand the care of a plant, understand its native climate and environment.</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Information</w:t>
            </w:r>
          </w:p>
        </w:tc>
      </w:tr>
      <w:tr>
        <w:trPr>
          <w:cantSplit/>
        </w:trPr>
        <w:tc>
          <w:tcPr>
            <w:tcW w:type="dxa" w:w="5083"/>
            <w:vAlign w:val="center"/>
            <w:shd w:fill="FFFFFF"/>
          </w:tcPr>
          <w:p>
            <w:pPr>
              <w:spacing w:after="60"/>
            </w:pPr>
            <w:r>
              <w:rPr>
                <w:b/>
                <w:i w:val="0"/>
                <w:sz w:val="22"/>
              </w:rPr>
              <w:t>Accepted name</w:t>
            </w:r>
          </w:p>
        </w:tc>
        <w:tc>
          <w:tcPr>
            <w:tcW w:type="dxa" w:w="5083"/>
            <w:vAlign w:val="center"/>
            <w:shd w:fill="FFFFFF"/>
          </w:tcPr>
          <w:p>
            <w:pPr>
              <w:spacing w:after="60"/>
            </w:pPr>
            <w:r>
              <w:rPr>
                <w:b w:val="0"/>
                <w:i w:val="0"/>
                <w:sz w:val="22"/>
              </w:rPr>
              <w:t>Ageratina altissima (L.) R.M.King &amp; H.Rob.; family Asteraceae. Older name: Eupatorium rugosum. [Kew]</w:t>
            </w:r>
          </w:p>
        </w:tc>
      </w:tr>
      <w:tr>
        <w:trPr>
          <w:cantSplit/>
        </w:trPr>
        <w:tc>
          <w:tcPr>
            <w:tcW w:type="dxa" w:w="5083"/>
            <w:vAlign w:val="center"/>
            <w:shd w:fill="FFFFFF"/>
          </w:tcPr>
          <w:p>
            <w:pPr>
              <w:spacing w:after="60"/>
            </w:pPr>
            <w:r>
              <w:rPr>
                <w:b/>
                <w:i w:val="0"/>
                <w:sz w:val="22"/>
              </w:rPr>
              <w:t>Plant type and size</w:t>
            </w:r>
          </w:p>
        </w:tc>
        <w:tc>
          <w:tcPr>
            <w:tcW w:type="dxa" w:w="5083"/>
            <w:vAlign w:val="center"/>
            <w:shd w:fill="FFFFFF"/>
          </w:tcPr>
          <w:p>
            <w:pPr>
              <w:spacing w:after="60"/>
            </w:pPr>
            <w:r>
              <w:rPr>
                <w:b w:val="0"/>
                <w:i w:val="0"/>
                <w:sz w:val="22"/>
              </w:rPr>
              <w:t>Herbaceous perennial; commonly 2–5 ft (0.6–1.5 m) tall and 2–4 ft (0.6–1.2 m) wide. [NC]</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Yes. Native range includes eastern and central states and parts of Canada. [Kew]</w:t>
            </w:r>
          </w:p>
        </w:tc>
      </w:tr>
      <w:tr>
        <w:trPr>
          <w:cantSplit/>
        </w:trPr>
        <w:tc>
          <w:tcPr>
            <w:tcW w:type="dxa" w:w="5083"/>
            <w:vAlign w:val="center"/>
            <w:shd w:fill="FFFFFF"/>
          </w:tcPr>
          <w:p>
            <w:pPr>
              <w:spacing w:after="60"/>
            </w:pPr>
            <w:r>
              <w:rPr>
                <w:b/>
                <w:i w:val="0"/>
                <w:sz w:val="22"/>
              </w:rPr>
              <w:t>Native to Lafayette area</w:t>
            </w:r>
          </w:p>
        </w:tc>
        <w:tc>
          <w:tcPr>
            <w:tcW w:type="dxa" w:w="5083"/>
            <w:vAlign w:val="center"/>
            <w:shd w:fill="FFFFFF"/>
          </w:tcPr>
          <w:p>
            <w:pPr>
              <w:spacing w:after="60"/>
            </w:pPr>
            <w:r>
              <w:rPr>
                <w:b w:val="0"/>
                <w:i w:val="0"/>
                <w:sz w:val="22"/>
              </w:rPr>
              <w:t>Yes. Indiana native status and historical Tippecanoe County woodland specimens support this designation. [Kew, IND]</w:t>
            </w:r>
          </w:p>
        </w:tc>
      </w:tr>
      <w:tr>
        <w:trPr>
          <w:cantSplit/>
        </w:trPr>
        <w:tc>
          <w:tcPr>
            <w:tcW w:type="dxa" w:w="5083"/>
            <w:vAlign w:val="center"/>
            <w:shd w:fill="FFFFFF"/>
          </w:tcPr>
          <w:p>
            <w:pPr>
              <w:spacing w:after="60"/>
            </w:pPr>
            <w:r>
              <w:rPr>
                <w:b/>
                <w:i w:val="0"/>
                <w:sz w:val="22"/>
              </w:rPr>
              <w:t>Invasive status in Indiana</w:t>
            </w:r>
          </w:p>
        </w:tc>
        <w:tc>
          <w:tcPr>
            <w:tcW w:type="dxa" w:w="5083"/>
            <w:vAlign w:val="center"/>
            <w:shd w:fill="FFFFFF"/>
          </w:tcPr>
          <w:p>
            <w:pPr>
              <w:spacing w:after="60"/>
            </w:pPr>
            <w:r>
              <w:rPr>
                <w:b w:val="0"/>
                <w:i w:val="0"/>
                <w:sz w:val="22"/>
              </w:rPr>
              <w:t>Non-invasive native; can spread aggressively in gardens. Not on the Indiana DNR terrestrial invasive plant list checked 2026-09-21. [DNR, PM]</w:t>
            </w:r>
          </w:p>
        </w:tc>
      </w:tr>
      <w:tr>
        <w:trPr>
          <w:cantSplit/>
        </w:trPr>
        <w:tc>
          <w:tcPr>
            <w:tcW w:type="dxa" w:w="5083"/>
            <w:vAlign w:val="center"/>
            <w:shd w:fill="FFFFFF"/>
          </w:tcPr>
          <w:p>
            <w:pPr>
              <w:spacing w:after="60"/>
            </w:pPr>
            <w:r>
              <w:rPr>
                <w:b/>
                <w:i w:val="0"/>
                <w:sz w:val="22"/>
              </w:rPr>
              <w:t>Self seeding</w:t>
            </w:r>
          </w:p>
        </w:tc>
        <w:tc>
          <w:tcPr>
            <w:tcW w:type="dxa" w:w="5083"/>
            <w:vAlign w:val="center"/>
            <w:shd w:fill="FFFFFF"/>
          </w:tcPr>
          <w:p>
            <w:pPr>
              <w:spacing w:after="60"/>
            </w:pPr>
            <w:r>
              <w:rPr>
                <w:b w:val="0"/>
                <w:i w:val="0"/>
                <w:sz w:val="22"/>
              </w:rPr>
              <w:t>Yes, often freely; seeds travel on the wind. Also spreads by rhizomes. [PM]</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Poisonous. Leaves, stems, roots, flowers and seed are not edible. Never use as a home remedy. [NC]</w:t>
            </w:r>
          </w:p>
        </w:tc>
      </w:tr>
      <w:tr>
        <w:trPr>
          <w:cantSplit/>
        </w:trPr>
        <w:tc>
          <w:tcPr>
            <w:tcW w:type="dxa" w:w="5083"/>
            <w:vAlign w:val="center"/>
            <w:shd w:fill="FFFFFF"/>
          </w:tcPr>
          <w:p>
            <w:pPr>
              <w:spacing w:after="60"/>
            </w:pPr>
            <w:r>
              <w:rPr>
                <w:b/>
                <w:i w:val="0"/>
                <w:sz w:val="22"/>
              </w:rPr>
              <w:t>Best setting</w:t>
            </w:r>
          </w:p>
        </w:tc>
        <w:tc>
          <w:tcPr>
            <w:tcW w:type="dxa" w:w="5083"/>
            <w:vAlign w:val="center"/>
            <w:shd w:fill="FFFFFF"/>
          </w:tcPr>
          <w:p>
            <w:pPr>
              <w:spacing w:after="60"/>
            </w:pPr>
            <w:r>
              <w:rPr>
                <w:b w:val="0"/>
                <w:i w:val="0"/>
                <w:sz w:val="22"/>
              </w:rPr>
              <w:t>Part shade to light shade; moist, well-drained woodland soil. [IL]</w:t>
            </w:r>
          </w:p>
        </w:tc>
      </w:tr>
      <w:tr>
        <w:trPr>
          <w:cantSplit/>
        </w:trPr>
        <w:tc>
          <w:tcPr>
            <w:tcW w:type="dxa" w:w="5083"/>
            <w:vAlign w:val="center"/>
            <w:shd w:fill="FFFFFF"/>
          </w:tcPr>
          <w:p>
            <w:pPr>
              <w:spacing w:after="60"/>
            </w:pPr>
            <w:r>
              <w:rPr>
                <w:b/>
                <w:i w:val="0"/>
                <w:sz w:val="22"/>
              </w:rPr>
              <w:t>Flowering</w:t>
            </w:r>
          </w:p>
        </w:tc>
        <w:tc>
          <w:tcPr>
            <w:tcW w:type="dxa" w:w="5083"/>
            <w:vAlign w:val="center"/>
            <w:shd w:fill="FFFFFF"/>
          </w:tcPr>
          <w:p>
            <w:pPr>
              <w:spacing w:after="60"/>
            </w:pPr>
            <w:r>
              <w:rPr>
                <w:b w:val="0"/>
                <w:i w:val="0"/>
                <w:sz w:val="22"/>
              </w:rPr>
              <w:t>Late summer into autumn; usually white clusters. [NC]</w:t>
            </w:r>
          </w:p>
        </w:tc>
      </w:tr>
    </w:tbl>
    <w:p>
      <w:pPr>
        <w:spacing w:after="20"/>
      </w:pPr>
    </w:p>
    <w:p>
      <w:pPr>
        <w:pStyle w:val="Heading2"/>
      </w:pPr>
      <w:r>
        <w:t>Identification</w:t>
      </w:r>
    </w:p>
    <w:p>
      <w:r>
        <w:rPr>
          <w:b w:val="0"/>
          <w:i w:val="0"/>
        </w:rPr>
        <w:t>Leaves occur in opposite pairs. Lower leaves are broad, often heart-shaped, with long stalks, coarse teeth and three conspicuous main veins. Upper leaves are smaller. Stems are usually nearly hairless. Shallow fibrous roots arise with spreading rhizomes. [IL]</w:t>
      </w:r>
    </w:p>
    <w:p>
      <w:r>
        <w:rPr>
          <w:b w:val="0"/>
          <w:i w:val="0"/>
        </w:rPr>
        <w:t>Use several features together. Common boneset has leaves joined around the stem; white snakeroot has separate leaf stalks. White-flowered asters usually have visible rays around their centers; white snakeroot has small tubular florets. Never taste a plant to identify it.</w:t>
      </w:r>
    </w:p>
    <w:p>
      <w:pPr>
        <w:pStyle w:val="Heading2"/>
      </w:pPr>
      <w:r>
        <w:t>Light</w:t>
      </w:r>
    </w:p>
    <w:p>
      <w:r>
        <w:rPr>
          <w:b w:val="0"/>
          <w:i w:val="0"/>
        </w:rPr>
        <w:t>Choose morning sun, open shade, or a woodland edge. Hot afternoon sun increases water stress; deeper shade may reduce flowering. Avoid abruptly moving a shade-grown plant into a hot exposed bed. [NC, IL]</w:t>
      </w:r>
    </w:p>
    <w:p>
      <w:pPr>
        <w:pStyle w:val="Heading2"/>
      </w:pPr>
      <w:r>
        <w:t>Soil and Standard Potting Mix</w:t>
      </w:r>
    </w:p>
    <w:p>
      <w:r>
        <w:rPr>
          <w:b w:val="0"/>
          <w:i w:val="0"/>
        </w:rPr>
        <w:t>In a garden, use the existing well-drained woodland soil and retain a modest leaf-litter cover. The container recipe below is for pots, not a requirement to replace native bed soil.</w:t>
      </w:r>
    </w:p>
    <w:p>
      <w:r>
        <w:rPr>
          <w:b/>
          <w:i w:val="0"/>
        </w:rPr>
        <w:t>Native Forest Plants Standard Mix</w:t>
      </w:r>
      <w:r>
        <w:t xml:space="preserve"> — measure by loose volume. [Mix]</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Component</w:t>
            </w:r>
          </w:p>
        </w:tc>
        <w:tc>
          <w:tcPr>
            <w:tcW w:type="dxa" w:w="3389"/>
            <w:vAlign w:val="center"/>
            <w:shd w:fill="E9EDF0"/>
          </w:tcPr>
          <w:p>
            <w:pPr>
              <w:spacing w:after="60"/>
            </w:pPr>
            <w:r>
              <w:rPr>
                <w:b/>
                <w:i w:val="0"/>
                <w:sz w:val="22"/>
              </w:rPr>
              <w:t>Parts</w:t>
            </w:r>
          </w:p>
        </w:tc>
        <w:tc>
          <w:tcPr>
            <w:tcW w:type="dxa" w:w="3389"/>
            <w:vAlign w:val="center"/>
            <w:shd w:fill="E9EDF0"/>
          </w:tcPr>
          <w:p>
            <w:pPr>
              <w:spacing w:after="60"/>
            </w:pPr>
            <w:r>
              <w:rPr>
                <w:b/>
                <w:i w:val="0"/>
                <w:sz w:val="22"/>
              </w:rPr>
              <w:t>Share</w:t>
            </w:r>
          </w:p>
        </w:tc>
      </w:tr>
      <w:tr>
        <w:trPr>
          <w:cantSplit/>
        </w:trPr>
        <w:tc>
          <w:tcPr>
            <w:tcW w:type="dxa" w:w="3389"/>
            <w:vAlign w:val="center"/>
            <w:shd w:fill="FFFFFF"/>
          </w:tcPr>
          <w:p>
            <w:pPr>
              <w:spacing w:after="60"/>
            </w:pPr>
            <w:r>
              <w:rPr>
                <w:b/>
                <w:i w:val="0"/>
                <w:sz w:val="22"/>
              </w:rPr>
              <w:t>Generic potting soil</w:t>
            </w:r>
          </w:p>
        </w:tc>
        <w:tc>
          <w:tcPr>
            <w:tcW w:type="dxa" w:w="3389"/>
            <w:vAlign w:val="center"/>
            <w:shd w:fill="FFFFFF"/>
          </w:tcPr>
          <w:p>
            <w:pPr>
              <w:spacing w:after="60"/>
            </w:pPr>
            <w:r>
              <w:rPr>
                <w:b w:val="0"/>
                <w:i w:val="0"/>
                <w:sz w:val="22"/>
              </w:rPr>
              <w:t>2</w:t>
            </w:r>
          </w:p>
        </w:tc>
        <w:tc>
          <w:tcPr>
            <w:tcW w:type="dxa" w:w="3389"/>
            <w:vAlign w:val="center"/>
            <w:shd w:fill="FFFFFF"/>
          </w:tcPr>
          <w:p>
            <w:pPr>
              <w:spacing w:after="60"/>
            </w:pPr>
            <w:r>
              <w:rPr>
                <w:b w:val="0"/>
                <w:i w:val="0"/>
                <w:sz w:val="22"/>
              </w:rPr>
              <w:t>50%</w:t>
            </w:r>
          </w:p>
        </w:tc>
      </w:tr>
      <w:tr>
        <w:trPr>
          <w:cantSplit/>
        </w:trPr>
        <w:tc>
          <w:tcPr>
            <w:tcW w:type="dxa" w:w="3389"/>
            <w:vAlign w:val="center"/>
            <w:shd w:fill="FFFFFF"/>
          </w:tcPr>
          <w:p>
            <w:pPr>
              <w:spacing w:after="60"/>
            </w:pPr>
            <w:r>
              <w:rPr>
                <w:b/>
                <w:i w:val="0"/>
                <w:sz w:val="22"/>
              </w:rPr>
              <w:t>Compost-rich raised-bed or in-ground soil ingredient</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25%</w:t>
            </w:r>
          </w:p>
        </w:tc>
      </w:tr>
      <w:tr>
        <w:trPr>
          <w:cantSplit/>
        </w:trPr>
        <w:tc>
          <w:tcPr>
            <w:tcW w:type="dxa" w:w="3389"/>
            <w:vAlign w:val="center"/>
            <w:shd w:fill="FFFFFF"/>
          </w:tcPr>
          <w:p>
            <w:pPr>
              <w:spacing w:after="60"/>
            </w:pPr>
            <w:r>
              <w:rPr>
                <w:b/>
                <w:i w:val="0"/>
                <w:sz w:val="22"/>
              </w:rPr>
              <w:t>Coarse perlite</w:t>
            </w:r>
          </w:p>
        </w:tc>
        <w:tc>
          <w:tcPr>
            <w:tcW w:type="dxa" w:w="3389"/>
            <w:vAlign w:val="center"/>
            <w:shd w:fill="FFFFFF"/>
          </w:tcPr>
          <w:p>
            <w:pPr>
              <w:spacing w:after="60"/>
            </w:pPr>
            <w:r>
              <w:rPr>
                <w:b w:val="0"/>
                <w:i w:val="0"/>
                <w:sz w:val="22"/>
              </w:rPr>
              <w:t>1</w:t>
            </w:r>
          </w:p>
        </w:tc>
        <w:tc>
          <w:tcPr>
            <w:tcW w:type="dxa" w:w="3389"/>
            <w:vAlign w:val="center"/>
            <w:shd w:fill="FFFFFF"/>
          </w:tcPr>
          <w:p>
            <w:pPr>
              <w:spacing w:after="60"/>
            </w:pPr>
            <w:r>
              <w:rPr>
                <w:b w:val="0"/>
                <w:i w:val="0"/>
                <w:sz w:val="22"/>
              </w:rPr>
              <w:t>25%</w:t>
            </w:r>
          </w:p>
        </w:tc>
      </w:tr>
    </w:tbl>
    <w:p>
      <w:pPr>
        <w:spacing w:after="20"/>
      </w:pPr>
    </w:p>
    <w:p>
      <w:r>
        <w:rPr>
          <w:b w:val="0"/>
          <w:i w:val="0"/>
        </w:rPr>
        <w:t>Screen out large woody pieces. Blend dry components, lightly premoistening dusty material. Do not compress the mix. Use an open drainage hole and no gravel layer. The compost-rich ingredient must not be used alone in a pot. [Mix]</w:t>
      </w:r>
    </w:p>
    <w:p>
      <w:pPr>
        <w:pStyle w:val="Heading2"/>
      </w:pPr>
      <w:r>
        <w:t>Watering and Containers</w:t>
      </w:r>
    </w:p>
    <w:p>
      <w:r>
        <w:rPr>
          <w:b w:val="0"/>
          <w:i w:val="0"/>
        </w:rPr>
        <w:t>Keep new plants evenly moist while their roots establish. Check the soil before watering; water the root zone thoroughly when it begins drying, then allow excess water to drain. Established shaded plants tolerate some drying, but persistent wilting signals a problem. [IL]</w:t>
      </w:r>
    </w:p>
    <w:p>
      <w:r>
        <w:rPr>
          <w:b w:val="0"/>
          <w:i w:val="0"/>
        </w:rPr>
        <w:t>For temporary nursery culture, use a stable pot only slightly larger than the root mass. Repot when roots fill it or drainage deteriorates. Plant outdoors in spring or early autumn so roots can establish before severe heat or winter. Containers dry and freeze faster than garden soil; protect the root ball outdoors during winter.</w:t>
      </w:r>
    </w:p>
    <w:p>
      <w:pPr>
        <w:pStyle w:val="Heading2"/>
      </w:pPr>
      <w:r>
        <w:t>Temperature Humidity and Feeding</w:t>
      </w:r>
    </w:p>
    <w:p>
      <w:r>
        <w:rPr>
          <w:b w:val="0"/>
          <w:i w:val="0"/>
        </w:rPr>
        <w:t>This is a temperate outdoor perennial, not a tropical houseplant. Shoots die back in winter and resume growth from the crown. NC State lists hardiness zones 3–9; hardiness describes winter survival, not an exact growth-temperature target. Normal outdoor humidity is sufficient. [NC]</w:t>
      </w:r>
    </w:p>
    <w:p>
      <w:r>
        <w:rPr>
          <w:b w:val="0"/>
          <w:i w:val="0"/>
        </w:rPr>
        <w:t>Routine fertilizer is usually unnecessary in a suitable garden soil. For a prolonged stay in a container, use modest feeding only during active growth and follow the fertilizer label. Avoid forcing soft, lanky growth with excessive nitrogen. Diagnose poor light, drainage or roots before adding fertilizer.</w:t>
      </w:r>
    </w:p>
    <w:p>
      <w:pPr>
        <w:jc w:val="center"/>
      </w:pPr>
      <w:r>
        <w:drawing>
          <wp:inline xmlns:a="http://schemas.openxmlformats.org/drawingml/2006/main" xmlns:pic="http://schemas.openxmlformats.org/drawingml/2006/picture">
            <wp:extent cx="5120640" cy="3840480"/>
            <wp:docPr id="2" name="Picture 2"/>
            <wp:cNvGraphicFramePr>
              <a:graphicFrameLocks noChangeAspect="1"/>
            </wp:cNvGraphicFramePr>
            <a:graphic>
              <a:graphicData uri="http://schemas.openxmlformats.org/drawingml/2006/picture">
                <pic:pic>
                  <pic:nvPicPr>
                    <pic:cNvPr id="0" name="10b480538033f955fb31932b.jpg"/>
                    <pic:cNvPicPr/>
                  </pic:nvPicPr>
                  <pic:blipFill>
                    <a:blip r:embed="rId15"/>
                    <a:stretch>
                      <a:fillRect/>
                    </a:stretch>
                  </pic:blipFill>
                  <pic:spPr>
                    <a:xfrm>
                      <a:off x="0" y="0"/>
                      <a:ext cx="5120640" cy="3840480"/>
                    </a:xfrm>
                    <a:prstGeom prst="rect"/>
                  </pic:spPr>
                </pic:pic>
              </a:graphicData>
            </a:graphic>
          </wp:inline>
        </w:drawing>
      </w:r>
    </w:p>
    <w:p>
      <w:pPr>
        <w:pStyle w:val="Caption"/>
      </w:pPr>
      <w:r>
        <w:rPr>
          <w:b w:val="0"/>
          <w:i w:val="0"/>
        </w:rPr>
        <w:t>White tubular florets in flower heads at Bird Park, Mount Lebanon, Pennsylvania. Cbaile19, CC0.</w:t>
      </w:r>
      <w:r>
        <w:br/>
      </w:r>
      <w:r>
        <w:t xml:space="preserve">Photograph: Cbaile19 · </w:t>
      </w:r>
      <w:hyperlink r:id="rId16">
        <w:r>
          <w:rPr>
            <w:color w:val="245B43"/>
            <w:u w:val="single"/>
          </w:rPr>
          <w:t>Original source</w:t>
        </w:r>
      </w:hyperlink>
      <w:r>
        <w:t xml:space="preserve"> · </w:t>
      </w:r>
      <w:hyperlink r:id="rId17">
        <w:r>
          <w:rPr>
            <w:color w:val="245B43"/>
            <w:u w:val="single"/>
          </w:rPr>
          <w:t>CC0</w:t>
        </w:r>
      </w:hyperlink>
      <w:r>
        <w:t>. Resized proportionally.</w:t>
      </w:r>
    </w:p>
    <w:p>
      <w:pPr>
        <w:pStyle w:val="Heading2"/>
      </w:pPr>
      <w:r>
        <w:t>Flowering</w:t>
      </w:r>
    </w:p>
    <w:p>
      <w:r>
        <w:rPr>
          <w:b w:val="0"/>
          <w:i w:val="0"/>
        </w:rPr>
        <w:t>The frothy display is made of many small flower heads gathered into broad clusters. Individual heads contain disk florets without a ring of ray petals. Bloom follows summer growth and extends into autumn; timing changes with latitude, weather and shade. [IL, Garden]</w:t>
      </w:r>
    </w:p>
    <w:p>
      <w:pPr>
        <w:pStyle w:val="Heading2"/>
      </w:pPr>
      <w:r>
        <w:t>Propagation and Germination</w:t>
      </w:r>
    </w:p>
    <w:p>
      <w:r>
        <w:rPr>
          <w:b/>
          <w:i w:val="0"/>
        </w:rPr>
        <w:t>Light for germination — yes.</w:t>
      </w:r>
      <w:r>
        <w:t xml:space="preserve"> Surface sow and leave seed uncovered. Provide at least 60 days of moist cold treatment below 40°F (4.4°C). An outdoor autumn or early-winter sowing suits Lafayette. [Seed, Garden]</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Step</w:t>
            </w:r>
          </w:p>
        </w:tc>
        <w:tc>
          <w:tcPr>
            <w:tcW w:type="dxa" w:w="5083"/>
            <w:vAlign w:val="center"/>
            <w:shd w:fill="E9EDF0"/>
          </w:tcPr>
          <w:p>
            <w:pPr>
              <w:spacing w:after="60"/>
            </w:pPr>
            <w:r>
              <w:rPr>
                <w:b/>
                <w:i w:val="0"/>
                <w:sz w:val="22"/>
              </w:rPr>
              <w:t>What to do</w:t>
            </w:r>
          </w:p>
        </w:tc>
      </w:tr>
      <w:tr>
        <w:trPr>
          <w:cantSplit/>
        </w:trPr>
        <w:tc>
          <w:tcPr>
            <w:tcW w:type="dxa" w:w="5083"/>
            <w:vAlign w:val="center"/>
            <w:shd w:fill="FFFFFF"/>
          </w:tcPr>
          <w:p>
            <w:pPr>
              <w:spacing w:after="60"/>
            </w:pPr>
            <w:r>
              <w:rPr>
                <w:b/>
                <w:i w:val="0"/>
                <w:sz w:val="22"/>
              </w:rPr>
              <w:t>1 Prepare</w:t>
            </w:r>
          </w:p>
        </w:tc>
        <w:tc>
          <w:tcPr>
            <w:tcW w:type="dxa" w:w="5083"/>
            <w:vAlign w:val="center"/>
            <w:shd w:fill="FFFFFF"/>
          </w:tcPr>
          <w:p>
            <w:pPr>
              <w:spacing w:after="60"/>
            </w:pPr>
            <w:r>
              <w:rPr>
                <w:b w:val="0"/>
                <w:i w:val="0"/>
                <w:sz w:val="22"/>
              </w:rPr>
              <w:t>Use a clean draining pot. Standard Seed Starting Mix: 2 parts coco coir, 1 part coarse perlite and 1 part vermiculite by volume. Premoisten. [Mix]</w:t>
            </w:r>
          </w:p>
        </w:tc>
      </w:tr>
      <w:tr>
        <w:trPr>
          <w:cantSplit/>
        </w:trPr>
        <w:tc>
          <w:tcPr>
            <w:tcW w:type="dxa" w:w="5083"/>
            <w:vAlign w:val="center"/>
            <w:shd w:fill="FFFFFF"/>
          </w:tcPr>
          <w:p>
            <w:pPr>
              <w:spacing w:after="60"/>
            </w:pPr>
            <w:r>
              <w:rPr>
                <w:b/>
                <w:i w:val="0"/>
                <w:sz w:val="22"/>
              </w:rPr>
              <w:t>2 Sow</w:t>
            </w:r>
          </w:p>
        </w:tc>
        <w:tc>
          <w:tcPr>
            <w:tcW w:type="dxa" w:w="5083"/>
            <w:vAlign w:val="center"/>
            <w:shd w:fill="FFFFFF"/>
          </w:tcPr>
          <w:p>
            <w:pPr>
              <w:spacing w:after="60"/>
            </w:pPr>
            <w:r>
              <w:rPr>
                <w:b w:val="0"/>
                <w:i w:val="0"/>
                <w:sz w:val="22"/>
              </w:rPr>
              <w:t>Scatter seed thinly and press gently onto the surface. Do not bury beneath soil, grit or mulch. Label the botanical name and sowing date. [Seed]</w:t>
            </w:r>
          </w:p>
        </w:tc>
      </w:tr>
      <w:tr>
        <w:trPr>
          <w:cantSplit/>
        </w:trPr>
        <w:tc>
          <w:tcPr>
            <w:tcW w:type="dxa" w:w="5083"/>
            <w:vAlign w:val="center"/>
            <w:shd w:fill="FFFFFF"/>
          </w:tcPr>
          <w:p>
            <w:pPr>
              <w:spacing w:after="60"/>
            </w:pPr>
            <w:r>
              <w:rPr>
                <w:b/>
                <w:i w:val="0"/>
                <w:sz w:val="22"/>
              </w:rPr>
              <w:t>3 Chill moist</w:t>
            </w:r>
          </w:p>
        </w:tc>
        <w:tc>
          <w:tcPr>
            <w:tcW w:type="dxa" w:w="5083"/>
            <w:vAlign w:val="center"/>
            <w:shd w:fill="FFFFFF"/>
          </w:tcPr>
          <w:p>
            <w:pPr>
              <w:spacing w:after="60"/>
            </w:pPr>
            <w:r>
              <w:rPr>
                <w:b w:val="0"/>
                <w:i w:val="0"/>
                <w:sz w:val="22"/>
              </w:rPr>
              <w:t>Leave outdoors through winter in a protected position with access to rain or snow, or refrigerate moist seed for at least 60 days below 40°F (4.4°C). Moist chilling differs from dry cold storage. [Seed]</w:t>
            </w:r>
          </w:p>
        </w:tc>
      </w:tr>
      <w:tr>
        <w:trPr>
          <w:cantSplit/>
        </w:trPr>
        <w:tc>
          <w:tcPr>
            <w:tcW w:type="dxa" w:w="5083"/>
            <w:vAlign w:val="center"/>
            <w:shd w:fill="FFFFFF"/>
          </w:tcPr>
          <w:p>
            <w:pPr>
              <w:spacing w:after="60"/>
            </w:pPr>
            <w:r>
              <w:rPr>
                <w:b/>
                <w:i w:val="0"/>
                <w:sz w:val="22"/>
              </w:rPr>
              <w:t>4 Grow</w:t>
            </w:r>
          </w:p>
        </w:tc>
        <w:tc>
          <w:tcPr>
            <w:tcW w:type="dxa" w:w="5083"/>
            <w:vAlign w:val="center"/>
            <w:shd w:fill="FFFFFF"/>
          </w:tcPr>
          <w:p>
            <w:pPr>
              <w:spacing w:after="60"/>
            </w:pPr>
            <w:r>
              <w:rPr>
                <w:b w:val="0"/>
                <w:i w:val="0"/>
                <w:sz w:val="22"/>
              </w:rPr>
              <w:t>Keep the exposed seed surface moist as conditions warm. Prevent washing, drying and overheating. Do not promise a fixed emergence date; seed lots vary.</w:t>
            </w:r>
          </w:p>
        </w:tc>
      </w:tr>
      <w:tr>
        <w:trPr>
          <w:cantSplit/>
        </w:trPr>
        <w:tc>
          <w:tcPr>
            <w:tcW w:type="dxa" w:w="5083"/>
            <w:vAlign w:val="center"/>
            <w:shd w:fill="FFFFFF"/>
          </w:tcPr>
          <w:p>
            <w:pPr>
              <w:spacing w:after="60"/>
            </w:pPr>
            <w:r>
              <w:rPr>
                <w:b/>
                <w:i w:val="0"/>
                <w:sz w:val="22"/>
              </w:rPr>
              <w:t>5 Establish</w:t>
            </w:r>
          </w:p>
        </w:tc>
        <w:tc>
          <w:tcPr>
            <w:tcW w:type="dxa" w:w="5083"/>
            <w:vAlign w:val="center"/>
            <w:shd w:fill="FFFFFF"/>
          </w:tcPr>
          <w:p>
            <w:pPr>
              <w:spacing w:after="60"/>
            </w:pPr>
            <w:r>
              <w:rPr>
                <w:b w:val="0"/>
                <w:i w:val="0"/>
                <w:sz w:val="22"/>
              </w:rPr>
              <w:t>After seedlings develop several true leaves and roots, pot on into the Native Forest Plants mix. Gradually acclimate to the intended outdoor light.</w:t>
            </w:r>
          </w:p>
        </w:tc>
      </w:tr>
    </w:tbl>
    <w:p>
      <w:pPr>
        <w:spacing w:after="20"/>
      </w:pPr>
    </w:p>
    <w:p>
      <w:r>
        <w:rPr>
          <w:b w:val="0"/>
          <w:i w:val="0"/>
        </w:rPr>
        <w:t>Division is another option in spring: lift an established clump, separate rooted portions with healthy buds, and replant promptly at the original depth. Keep roots moist; do not apply succulent-style callusing. [NC]</w:t>
      </w:r>
    </w:p>
    <w:p>
      <w:pPr>
        <w:pStyle w:val="Heading2"/>
      </w:pPr>
      <w:r>
        <w:t>Grooming and Troubleshooting</w:t>
      </w:r>
    </w:p>
    <w:p>
      <w:r>
        <w:rPr>
          <w:b w:val="0"/>
          <w:i w:val="0"/>
        </w:rPr>
        <w:t>Remove spent flower heads before fluffy seed forms if volunteers are unwanted. Pull excess seedlings early. Retain some flowering stems where space and animal access allow; manage the colony boundary each year. [PM]</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Observation</w:t>
            </w:r>
          </w:p>
        </w:tc>
        <w:tc>
          <w:tcPr>
            <w:tcW w:type="dxa" w:w="5083"/>
            <w:vAlign w:val="center"/>
            <w:shd w:fill="E9EDF0"/>
          </w:tcPr>
          <w:p>
            <w:pPr>
              <w:spacing w:after="60"/>
            </w:pPr>
            <w:r>
              <w:rPr>
                <w:b/>
                <w:i w:val="0"/>
                <w:sz w:val="22"/>
              </w:rPr>
              <w:t>Check and response</w:t>
            </w:r>
          </w:p>
        </w:tc>
      </w:tr>
      <w:tr>
        <w:trPr>
          <w:cantSplit/>
        </w:trPr>
        <w:tc>
          <w:tcPr>
            <w:tcW w:type="dxa" w:w="5083"/>
            <w:vAlign w:val="center"/>
            <w:shd w:fill="FFFFFF"/>
          </w:tcPr>
          <w:p>
            <w:pPr>
              <w:spacing w:after="60"/>
            </w:pPr>
            <w:r>
              <w:rPr>
                <w:b/>
                <w:i w:val="0"/>
                <w:sz w:val="22"/>
              </w:rPr>
              <w:t>Wilting or yellowing</w:t>
            </w:r>
          </w:p>
        </w:tc>
        <w:tc>
          <w:tcPr>
            <w:tcW w:type="dxa" w:w="5083"/>
            <w:vAlign w:val="center"/>
            <w:shd w:fill="FFFFFF"/>
          </w:tcPr>
          <w:p>
            <w:pPr>
              <w:spacing w:after="60"/>
            </w:pPr>
            <w:r>
              <w:rPr>
                <w:b w:val="0"/>
                <w:i w:val="0"/>
                <w:sz w:val="22"/>
              </w:rPr>
              <w:t>Check root-zone moisture and hot sun first. Water if dry; improve drainage if persistently wet.</w:t>
            </w:r>
          </w:p>
        </w:tc>
      </w:tr>
      <w:tr>
        <w:trPr>
          <w:cantSplit/>
        </w:trPr>
        <w:tc>
          <w:tcPr>
            <w:tcW w:type="dxa" w:w="5083"/>
            <w:vAlign w:val="center"/>
            <w:shd w:fill="FFFFFF"/>
          </w:tcPr>
          <w:p>
            <w:pPr>
              <w:spacing w:after="60"/>
            </w:pPr>
            <w:r>
              <w:rPr>
                <w:b/>
                <w:i w:val="0"/>
                <w:sz w:val="22"/>
              </w:rPr>
              <w:t>Leaf trails or small holes</w:t>
            </w:r>
          </w:p>
        </w:tc>
        <w:tc>
          <w:tcPr>
            <w:tcW w:type="dxa" w:w="5083"/>
            <w:vAlign w:val="center"/>
            <w:shd w:fill="FFFFFF"/>
          </w:tcPr>
          <w:p>
            <w:pPr>
              <w:spacing w:after="60"/>
            </w:pPr>
            <w:r>
              <w:rPr>
                <w:b w:val="0"/>
                <w:i w:val="0"/>
                <w:sz w:val="22"/>
              </w:rPr>
              <w:t>Leaf miners and flea beetles occur. Small amounts of damage are usually an observation issue, not a reason for routine spraying. [NC, BBG]</w:t>
            </w:r>
          </w:p>
        </w:tc>
      </w:tr>
      <w:tr>
        <w:trPr>
          <w:cantSplit/>
        </w:trPr>
        <w:tc>
          <w:tcPr>
            <w:tcW w:type="dxa" w:w="5083"/>
            <w:vAlign w:val="center"/>
            <w:shd w:fill="FFFFFF"/>
          </w:tcPr>
          <w:p>
            <w:pPr>
              <w:spacing w:after="60"/>
            </w:pPr>
            <w:r>
              <w:rPr>
                <w:b/>
                <w:i w:val="0"/>
                <w:sz w:val="22"/>
              </w:rPr>
              <w:t>Rapid increase in plants</w:t>
            </w:r>
          </w:p>
        </w:tc>
        <w:tc>
          <w:tcPr>
            <w:tcW w:type="dxa" w:w="5083"/>
            <w:vAlign w:val="center"/>
            <w:shd w:fill="FFFFFF"/>
          </w:tcPr>
          <w:p>
            <w:pPr>
              <w:spacing w:after="60"/>
            </w:pPr>
            <w:r>
              <w:rPr>
                <w:b w:val="0"/>
                <w:i w:val="0"/>
                <w:sz w:val="22"/>
              </w:rPr>
              <w:t>Seedling recruitment and rhizome spread are different processes. Remove seed heads and thin rooted shoots as needed. [PM]</w:t>
            </w:r>
          </w:p>
        </w:tc>
      </w:tr>
      <w:tr>
        <w:trPr>
          <w:cantSplit/>
        </w:trPr>
        <w:tc>
          <w:tcPr>
            <w:tcW w:type="dxa" w:w="5083"/>
            <w:vAlign w:val="center"/>
            <w:shd w:fill="FFFFFF"/>
          </w:tcPr>
          <w:p>
            <w:pPr>
              <w:spacing w:after="60"/>
            </w:pPr>
            <w:r>
              <w:rPr>
                <w:b/>
                <w:i w:val="0"/>
                <w:sz w:val="22"/>
              </w:rPr>
              <w:t>Little germination</w:t>
            </w:r>
          </w:p>
        </w:tc>
        <w:tc>
          <w:tcPr>
            <w:tcW w:type="dxa" w:w="5083"/>
            <w:vAlign w:val="center"/>
            <w:shd w:fill="FFFFFF"/>
          </w:tcPr>
          <w:p>
            <w:pPr>
              <w:spacing w:after="60"/>
            </w:pPr>
            <w:r>
              <w:rPr>
                <w:b w:val="0"/>
                <w:i w:val="0"/>
                <w:sz w:val="22"/>
              </w:rPr>
              <w:t>Check seed age, moist chilling, surface exposure and drying. Keep records; avoid repeated burial or disturbance.</w:t>
            </w:r>
          </w:p>
        </w:tc>
      </w:tr>
      <w:tr>
        <w:trPr>
          <w:cantSplit/>
        </w:trPr>
        <w:tc>
          <w:tcPr>
            <w:tcW w:type="dxa" w:w="5083"/>
            <w:vAlign w:val="center"/>
            <w:shd w:fill="FFFFFF"/>
          </w:tcPr>
          <w:p>
            <w:pPr>
              <w:spacing w:after="60"/>
            </w:pPr>
            <w:r>
              <w:rPr>
                <w:b/>
                <w:i w:val="0"/>
                <w:sz w:val="22"/>
              </w:rPr>
              <w:t>Autumn dieback</w:t>
            </w:r>
          </w:p>
        </w:tc>
        <w:tc>
          <w:tcPr>
            <w:tcW w:type="dxa" w:w="5083"/>
            <w:vAlign w:val="center"/>
            <w:shd w:fill="FFFFFF"/>
          </w:tcPr>
          <w:p>
            <w:pPr>
              <w:spacing w:after="60"/>
            </w:pPr>
            <w:r>
              <w:rPr>
                <w:b w:val="0"/>
                <w:i w:val="0"/>
                <w:sz w:val="22"/>
              </w:rPr>
              <w:t>Seasonal dormancy is expected. Retain the crown and avoid keeping dormant roots waterlogged.</w:t>
            </w:r>
          </w:p>
        </w:tc>
      </w:tr>
    </w:tbl>
    <w:p>
      <w:pPr>
        <w:spacing w:after="20"/>
      </w:pPr>
    </w:p>
    <w:p>
      <w:pPr>
        <w:jc w:val="center"/>
      </w:pPr>
      <w:r>
        <w:drawing>
          <wp:inline xmlns:a="http://schemas.openxmlformats.org/drawingml/2006/main" xmlns:pic="http://schemas.openxmlformats.org/drawingml/2006/picture">
            <wp:extent cx="5120640" cy="3413760"/>
            <wp:docPr id="3" name="Picture 3"/>
            <wp:cNvGraphicFramePr>
              <a:graphicFrameLocks noChangeAspect="1"/>
            </wp:cNvGraphicFramePr>
            <a:graphic>
              <a:graphicData uri="http://schemas.openxmlformats.org/drawingml/2006/picture">
                <pic:pic>
                  <pic:nvPicPr>
                    <pic:cNvPr id="0" name="6dd72f1e04f2fd43a095b319.jpg"/>
                    <pic:cNvPicPr/>
                  </pic:nvPicPr>
                  <pic:blipFill>
                    <a:blip r:embed="rId18"/>
                    <a:stretch>
                      <a:fillRect/>
                    </a:stretch>
                  </pic:blipFill>
                  <pic:spPr>
                    <a:xfrm>
                      <a:off x="0" y="0"/>
                      <a:ext cx="5120640" cy="3413760"/>
                    </a:xfrm>
                    <a:prstGeom prst="rect"/>
                  </pic:spPr>
                </pic:pic>
              </a:graphicData>
            </a:graphic>
          </wp:inline>
        </w:drawing>
      </w:r>
    </w:p>
    <w:p>
      <w:pPr>
        <w:pStyle w:val="Caption"/>
      </w:pPr>
      <w:r>
        <w:rPr>
          <w:b w:val="0"/>
          <w:i w:val="0"/>
        </w:rPr>
        <w:t>Deciduous woodland at Turkey Run State Park — Daniel Schwen. CC BY-SA 4.0</w:t>
      </w:r>
      <w:r>
        <w:br/>
      </w:r>
      <w:r>
        <w:t xml:space="preserve">Photograph: Daniel Schwen · </w:t>
      </w:r>
      <w:hyperlink r:id="rId19">
        <w:r>
          <w:rPr>
            <w:color w:val="245B43"/>
            <w:u w:val="single"/>
          </w:rPr>
          <w:t>Original source</w:t>
        </w:r>
      </w:hyperlink>
      <w:r>
        <w:t xml:space="preserve"> · </w:t>
      </w:r>
      <w:hyperlink r:id="rId14">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4" name="Picture 4"/>
            <wp:cNvGraphicFramePr>
              <a:graphicFrameLocks noChangeAspect="1"/>
            </wp:cNvGraphicFramePr>
            <a:graphic>
              <a:graphicData uri="http://schemas.openxmlformats.org/drawingml/2006/picture">
                <pic:pic>
                  <pic:nvPicPr>
                    <pic:cNvPr id="0" name="373bbd27b3745086a9d47efe.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White snakeroot colony at Ann M Banchoff Park — Famartin. CC BY-SA 4.0</w:t>
      </w:r>
      <w:r>
        <w:br/>
      </w:r>
      <w:r>
        <w:t xml:space="preserve">Photograph: Famartin · </w:t>
      </w:r>
      <w:hyperlink r:id="rId21">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Environment and Native Habitat</w:t>
      </w:r>
    </w:p>
    <w:p>
      <w:r>
        <w:rPr>
          <w:b w:val="0"/>
          <w:i w:val="0"/>
        </w:rPr>
        <w:t>Native settings include deciduous woods, edges, thickets and sheltered slopes. Tree cover reduces exposure, while leaf litter and soil structure influence moisture and root aeration. The plant also colonizes disturbed shaded ground. It is not restricted to pristine forest. [IL, PM]</w:t>
      </w:r>
    </w:p>
    <w:p>
      <w:r>
        <w:rPr>
          <w:b w:val="0"/>
          <w:i w:val="0"/>
        </w:rPr>
        <w:t>Local verification: Indiana University herbarium voucher IND-0120581, collected by Charles C. Deam on 1922-09-12, records Throckmorton woods about one mile northeast of Romney, Tippecanoe County, with the note “frequent with white oak.” A 2022 voucher, IND-0162325, documents Tecumseh Trails Park. [IND, IND2]</w:t>
      </w:r>
    </w:p>
    <w:p>
      <w:pPr>
        <w:pStyle w:val="Heading2"/>
      </w:pPr>
      <w:r>
        <w:t>Toxicity and Handling</w:t>
      </w:r>
    </w:p>
    <w:p>
      <w:r>
        <w:rPr>
          <w:b w:val="0"/>
          <w:i w:val="0"/>
        </w:rPr>
        <w:t>The ingestion hazard applies to people and animals. Never feed cuttings, seed heads or pulled plants to livestock; do not assume dried material is safe. Use gloves for removal, wash hands and keep debris away from food preparation. The name snakeroot is not evidence of a safe treatment for snakebite. [NC, Garden]</w:t>
      </w:r>
    </w:p>
    <w:p>
      <w:r>
        <w:rPr>
          <w:b w:val="0"/>
          <w:i w:val="0"/>
        </w:rPr>
        <w:t>After suspected human ingestion, contact Poison Control promptly at 1-800-222-1222. Do not induce vomiting. For collapse, seizure, breathing difficulty or inability to awaken, call 911. For an animal exposure, contact a veterinarian promptly. [Poison]</w:t>
      </w:r>
    </w:p>
    <w:p>
      <w:hyperlink r:id="rId22">
        <w:r>
          <w:rPr>
            <w:color w:val="245B43"/>
            <w:u w:val="single"/>
          </w:rPr>
          <w:t>[Kew] Kew Plants of the World Online</w:t>
        </w:r>
      </w:hyperlink>
    </w:p>
    <w:p>
      <w:hyperlink r:id="rId23">
        <w:r>
          <w:rPr>
            <w:color w:val="245B43"/>
            <w:u w:val="single"/>
          </w:rPr>
          <w:t>[NC] NC State Extension species profile</w:t>
        </w:r>
      </w:hyperlink>
    </w:p>
    <w:p>
      <w:hyperlink r:id="rId24">
        <w:r>
          <w:rPr>
            <w:color w:val="245B43"/>
            <w:u w:val="single"/>
          </w:rPr>
          <w:t>[IL] Illinois Wildflowers species account</w:t>
        </w:r>
      </w:hyperlink>
    </w:p>
    <w:p>
      <w:hyperlink r:id="rId25">
        <w:r>
          <w:rPr>
            <w:color w:val="245B43"/>
            <w:u w:val="single"/>
          </w:rPr>
          <w:t>[Seed] Wild Seed Project species and sowing protocol</w:t>
        </w:r>
      </w:hyperlink>
    </w:p>
    <w:p>
      <w:hyperlink r:id="rId26">
        <w:r>
          <w:rPr>
            <w:color w:val="245B43"/>
            <w:u w:val="single"/>
          </w:rPr>
          <w:t>[PM] Species cultivation and spread account</w:t>
        </w:r>
      </w:hyperlink>
    </w:p>
    <w:p>
      <w:hyperlink r:id="rId27">
        <w:r>
          <w:rPr>
            <w:color w:val="245B43"/>
            <w:u w:val="single"/>
          </w:rPr>
          <w:t>[IND] Indiana University specimen IND 0120581 via GBIF</w:t>
        </w:r>
      </w:hyperlink>
    </w:p>
    <w:p>
      <w:hyperlink r:id="rId28">
        <w:r>
          <w:rPr>
            <w:color w:val="245B43"/>
            <w:u w:val="single"/>
          </w:rPr>
          <w:t>[IND2] Indiana University specimen IND 0162325 via GBIF</w:t>
        </w:r>
      </w:hyperlink>
    </w:p>
    <w:p>
      <w:hyperlink r:id="rId29">
        <w:r>
          <w:rPr>
            <w:color w:val="245B43"/>
            <w:u w:val="single"/>
          </w:rPr>
          <w:t>[DNR] Indiana DNR terrestrial invasive plant list</w:t>
        </w:r>
      </w:hyperlink>
    </w:p>
    <w:p>
      <w:hyperlink r:id="rId30">
        <w:r>
          <w:rPr>
            <w:color w:val="245B43"/>
            <w:u w:val="single"/>
          </w:rPr>
          <w:t>[Poison] Poison Control emergency guidance</w:t>
        </w:r>
      </w:hyperlink>
    </w:p>
    <w:p>
      <w:hyperlink r:id="rId31">
        <w:r>
          <w:rPr>
            <w:color w:val="245B43"/>
            <w:u w:val="single"/>
          </w:rPr>
          <w:t>[Garden] Eloise Butler Wildflower Garden species account</w:t>
        </w:r>
      </w:hyperlink>
    </w:p>
    <w:p>
      <w:hyperlink r:id="rId32">
        <w:r>
          <w:rPr>
            <w:color w:val="245B43"/>
            <w:u w:val="single"/>
          </w:rPr>
          <w:t>[Mix] Project Standard Potting Mixes and Stock Inventory</w:t>
        </w:r>
      </w:hyperlink>
    </w:p>
    <w:p>
      <w:hyperlink r:id="rId13">
        <w:r>
          <w:rPr>
            <w:color w:val="245B43"/>
            <w:u w:val="single"/>
          </w:rPr>
          <w:t>Nonflowering white snakeroot foliage</w:t>
        </w:r>
      </w:hyperlink>
      <w:r>
        <w:t xml:space="preserve"> — Salicyna. </w:t>
      </w:r>
      <w:hyperlink r:id="rId14">
        <w:r>
          <w:rPr>
            <w:color w:val="245B43"/>
            <w:u w:val="single"/>
          </w:rPr>
          <w:t>CC BY-SA 4.0</w:t>
        </w:r>
      </w:hyperlink>
    </w:p>
    <w:p>
      <w:hyperlink r:id="rId16">
        <w:r>
          <w:rPr>
            <w:color w:val="245B43"/>
            <w:u w:val="single"/>
          </w:rPr>
          <w:t>White snakeroot flowers at Bird Park</w:t>
        </w:r>
      </w:hyperlink>
      <w:r>
        <w:t xml:space="preserve"> — Cbaile19. </w:t>
      </w:r>
      <w:hyperlink r:id="rId17">
        <w:r>
          <w:rPr>
            <w:color w:val="245B43"/>
            <w:u w:val="single"/>
          </w:rPr>
          <w:t>CC0</w:t>
        </w:r>
      </w:hyperlink>
    </w:p>
    <w:p>
      <w:hyperlink r:id="rId19">
        <w:r>
          <w:rPr>
            <w:color w:val="245B43"/>
            <w:u w:val="single"/>
          </w:rPr>
          <w:t>Deciduous woodland at Turkey Run State Park</w:t>
        </w:r>
      </w:hyperlink>
      <w:r>
        <w:t xml:space="preserve"> — Daniel Schwen. </w:t>
      </w:r>
      <w:hyperlink r:id="rId14">
        <w:r>
          <w:rPr>
            <w:color w:val="245B43"/>
            <w:u w:val="single"/>
          </w:rPr>
          <w:t>CC BY-SA 4.0</w:t>
        </w:r>
      </w:hyperlink>
    </w:p>
    <w:p>
      <w:hyperlink r:id="rId21">
        <w:r>
          <w:rPr>
            <w:color w:val="245B43"/>
            <w:u w:val="single"/>
          </w:rPr>
          <w:t>White snakeroot colony at Ann M Banchoff Park</w:t>
        </w:r>
      </w:hyperlink>
      <w:r>
        <w:t xml:space="preserve"> — Famartin. </w:t>
      </w:r>
      <w:hyperlink r:id="rId14">
        <w:r>
          <w:rPr>
            <w:color w:val="245B43"/>
            <w:u w:val="single"/>
          </w:rPr>
          <w:t>CC BY-SA 4.0</w:t>
        </w:r>
      </w:hyperlink>
    </w:p>
    <w:p>
      <w:pPr>
        <w:pStyle w:val="Heading2"/>
      </w:pPr>
      <w:r>
        <w:t>Related Information Sheets</w:t>
      </w:r>
    </w:p>
    <w:p>
      <w:hyperlink r:id="rId33">
        <w:r>
          <w:rPr>
            <w:color w:val="245B43"/>
            <w:u w:val="single"/>
          </w:rPr>
          <w:t>Woodland environment</w:t>
        </w:r>
      </w:hyperlink>
    </w:p>
    <w:p>
      <w:hyperlink r:id="rId34">
        <w:r>
          <w:rPr>
            <w:color w:val="245B43"/>
            <w:u w:val="single"/>
          </w:rPr>
          <w:t>Native climate and Lafayette comparison</w:t>
        </w:r>
      </w:hyperlink>
    </w:p>
    <w:p>
      <w:hyperlink r:id="rId35">
        <w:r>
          <w:rPr>
            <w:color w:val="245B43"/>
            <w:u w:val="single"/>
          </w:rPr>
          <w:t>Ecological relationships</w:t>
        </w:r>
      </w:hyperlink>
    </w:p>
    <w:p>
      <w:r>
        <w:rPr>
          <w:b w:val="0"/>
          <w:i w:val="0"/>
        </w:rPr>
        <w:t xml:space="preserve">Added September 22, 2026 · </w:t>
      </w:r>
      <w:hyperlink r:id="rId3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White Snakeroot — Climate</w:t>
      </w:r>
    </w:p>
    <w:p>
      <w:r>
        <w:rPr>
          <w:b/>
        </w:rPr>
        <w:t xml:space="preserve">Online Information Sheet: </w:t>
      </w:r>
      <w:hyperlink r:id="rId34">
        <w:r>
          <w:rPr>
            <w:color w:val="245B43"/>
            <w:u w:val="single"/>
          </w:rPr>
          <w:t>planteducationproject.com/white-snakeroot/climate/</w:t>
        </w:r>
      </w:hyperlink>
    </w:p>
    <w:p>
      <w:r>
        <w:rPr>
          <w:b w:val="0"/>
          <w:i w:val="0"/>
        </w:rPr>
        <w:t>🌿 Climate Information Sheet</w:t>
      </w:r>
    </w:p>
    <w:p>
      <w:r>
        <w:rPr>
          <w:b w:val="0"/>
          <w:i/>
        </w:rPr>
        <w:t>Ageratina altissima</w:t>
      </w:r>
      <w:r>
        <w:t xml:space="preserve">  |  White snakeroot</w:t>
      </w:r>
    </w:p>
    <w:p>
      <w:r>
        <w:rPr>
          <w:b w:val="0"/>
          <w:i w:val="0"/>
        </w:rPr>
        <w:t>White snakeroot spans a broad North American range, so one climate number cannot represent the entire species. Lafayette provides a useful local example: cold-season dormancy, warm-season growth and autumn flowering.</w:t>
      </w:r>
    </w:p>
    <w:p>
      <w:pPr>
        <w:jc w:val="center"/>
      </w:pPr>
      <w:r>
        <w:drawing>
          <wp:inline xmlns:a="http://schemas.openxmlformats.org/drawingml/2006/main" xmlns:pic="http://schemas.openxmlformats.org/drawingml/2006/picture">
            <wp:extent cx="5120640" cy="3413760"/>
            <wp:docPr id="5" name="Picture 5"/>
            <wp:cNvGraphicFramePr>
              <a:graphicFrameLocks noChangeAspect="1"/>
            </wp:cNvGraphicFramePr>
            <a:graphic>
              <a:graphicData uri="http://schemas.openxmlformats.org/drawingml/2006/picture">
                <pic:pic>
                  <pic:nvPicPr>
                    <pic:cNvPr id="0" name="6dd72f1e04f2fd43a095b319.jpg"/>
                    <pic:cNvPicPr/>
                  </pic:nvPicPr>
                  <pic:blipFill>
                    <a:blip r:embed="rId18"/>
                    <a:stretch>
                      <a:fillRect/>
                    </a:stretch>
                  </pic:blipFill>
                  <pic:spPr>
                    <a:xfrm>
                      <a:off x="0" y="0"/>
                      <a:ext cx="5120640" cy="3413760"/>
                    </a:xfrm>
                    <a:prstGeom prst="rect"/>
                  </pic:spPr>
                </pic:pic>
              </a:graphicData>
            </a:graphic>
          </wp:inline>
        </w:drawing>
      </w:r>
    </w:p>
    <w:p>
      <w:pPr>
        <w:pStyle w:val="Caption"/>
      </w:pPr>
      <w:r>
        <w:rPr>
          <w:b w:val="0"/>
          <w:i w:val="0"/>
        </w:rPr>
        <w:t>Spring leaf development at Turkey Run State Park, Indiana, illustrates the seasonal canopy cycle. The photograph is not from the Lafayette weather station.</w:t>
      </w:r>
      <w:r>
        <w:br/>
      </w:r>
      <w:r>
        <w:t xml:space="preserve">Photograph: Daniel Schwen · </w:t>
      </w:r>
      <w:hyperlink r:id="rId19">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Local Climate 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Measure</w:t>
            </w:r>
          </w:p>
        </w:tc>
        <w:tc>
          <w:tcPr>
            <w:tcW w:type="dxa" w:w="5083"/>
            <w:vAlign w:val="center"/>
            <w:shd w:fill="E9EDF0"/>
          </w:tcPr>
          <w:p>
            <w:pPr>
              <w:spacing w:after="60"/>
            </w:pPr>
            <w:r>
              <w:rPr>
                <w:b/>
                <w:i w:val="0"/>
                <w:sz w:val="22"/>
              </w:rPr>
              <w:t>Lafayette example</w:t>
            </w:r>
          </w:p>
        </w:tc>
      </w:tr>
      <w:tr>
        <w:trPr>
          <w:cantSplit/>
        </w:trPr>
        <w:tc>
          <w:tcPr>
            <w:tcW w:type="dxa" w:w="5083"/>
            <w:vAlign w:val="center"/>
            <w:shd w:fill="FFFFFF"/>
          </w:tcPr>
          <w:p>
            <w:pPr>
              <w:spacing w:after="60"/>
            </w:pPr>
            <w:r>
              <w:rPr>
                <w:b/>
                <w:i w:val="0"/>
                <w:sz w:val="22"/>
              </w:rPr>
              <w:t>Station</w:t>
            </w:r>
          </w:p>
        </w:tc>
        <w:tc>
          <w:tcPr>
            <w:tcW w:type="dxa" w:w="5083"/>
            <w:vAlign w:val="center"/>
            <w:shd w:fill="FFFFFF"/>
          </w:tcPr>
          <w:p>
            <w:pPr>
              <w:spacing w:after="60"/>
            </w:pPr>
            <w:r>
              <w:rPr>
                <w:b w:val="0"/>
                <w:i w:val="0"/>
                <w:sz w:val="22"/>
              </w:rPr>
              <w:t>Lafayette Purdue University Airport, USW00014835; 1991–2020 normals. [NOAA]</w:t>
            </w:r>
          </w:p>
        </w:tc>
      </w:tr>
      <w:tr>
        <w:trPr>
          <w:cantSplit/>
        </w:trPr>
        <w:tc>
          <w:tcPr>
            <w:tcW w:type="dxa" w:w="5083"/>
            <w:vAlign w:val="center"/>
            <w:shd w:fill="FFFFFF"/>
          </w:tcPr>
          <w:p>
            <w:pPr>
              <w:spacing w:after="60"/>
            </w:pPr>
            <w:r>
              <w:rPr>
                <w:b/>
                <w:i w:val="0"/>
                <w:sz w:val="22"/>
              </w:rPr>
              <w:t>January mean</w:t>
            </w:r>
          </w:p>
        </w:tc>
        <w:tc>
          <w:tcPr>
            <w:tcW w:type="dxa" w:w="5083"/>
            <w:vAlign w:val="center"/>
            <w:shd w:fill="FFFFFF"/>
          </w:tcPr>
          <w:p>
            <w:pPr>
              <w:spacing w:after="60"/>
            </w:pPr>
            <w:r>
              <w:rPr>
                <w:b w:val="0"/>
                <w:i w:val="0"/>
                <w:sz w:val="22"/>
              </w:rPr>
              <w:t>25.8°F (-3.4°C)</w:t>
            </w:r>
          </w:p>
        </w:tc>
      </w:tr>
      <w:tr>
        <w:trPr>
          <w:cantSplit/>
        </w:trPr>
        <w:tc>
          <w:tcPr>
            <w:tcW w:type="dxa" w:w="5083"/>
            <w:vAlign w:val="center"/>
            <w:shd w:fill="FFFFFF"/>
          </w:tcPr>
          <w:p>
            <w:pPr>
              <w:spacing w:after="60"/>
            </w:pPr>
            <w:r>
              <w:rPr>
                <w:b/>
                <w:i w:val="0"/>
                <w:sz w:val="22"/>
              </w:rPr>
              <w:t>July mean</w:t>
            </w:r>
          </w:p>
        </w:tc>
        <w:tc>
          <w:tcPr>
            <w:tcW w:type="dxa" w:w="5083"/>
            <w:vAlign w:val="center"/>
            <w:shd w:fill="FFFFFF"/>
          </w:tcPr>
          <w:p>
            <w:pPr>
              <w:spacing w:after="60"/>
            </w:pPr>
            <w:r>
              <w:rPr>
                <w:b w:val="0"/>
                <w:i w:val="0"/>
                <w:sz w:val="22"/>
              </w:rPr>
              <w:t>73.6°F (23.1°C)</w:t>
            </w:r>
          </w:p>
        </w:tc>
      </w:tr>
      <w:tr>
        <w:trPr>
          <w:cantSplit/>
        </w:trPr>
        <w:tc>
          <w:tcPr>
            <w:tcW w:type="dxa" w:w="5083"/>
            <w:vAlign w:val="center"/>
            <w:shd w:fill="FFFFFF"/>
          </w:tcPr>
          <w:p>
            <w:pPr>
              <w:spacing w:after="60"/>
            </w:pPr>
            <w:r>
              <w:rPr>
                <w:b/>
                <w:i w:val="0"/>
                <w:sz w:val="22"/>
              </w:rPr>
              <w:t>Annual precipitation</w:t>
            </w:r>
          </w:p>
        </w:tc>
        <w:tc>
          <w:tcPr>
            <w:tcW w:type="dxa" w:w="5083"/>
            <w:vAlign w:val="center"/>
            <w:shd w:fill="FFFFFF"/>
          </w:tcPr>
          <w:p>
            <w:pPr>
              <w:spacing w:after="60"/>
            </w:pPr>
            <w:r>
              <w:rPr>
                <w:b w:val="0"/>
                <w:i w:val="0"/>
                <w:sz w:val="22"/>
              </w:rPr>
              <w:t>37.00 in (940 mm), summed from monthly normals.</w:t>
            </w:r>
          </w:p>
        </w:tc>
      </w:tr>
      <w:tr>
        <w:trPr>
          <w:cantSplit/>
        </w:trPr>
        <w:tc>
          <w:tcPr>
            <w:tcW w:type="dxa" w:w="5083"/>
            <w:vAlign w:val="center"/>
            <w:shd w:fill="FFFFFF"/>
          </w:tcPr>
          <w:p>
            <w:pPr>
              <w:spacing w:after="60"/>
            </w:pPr>
            <w:r>
              <w:rPr>
                <w:b/>
                <w:i w:val="0"/>
                <w:sz w:val="22"/>
              </w:rPr>
              <w:t>Main plant response</w:t>
            </w:r>
          </w:p>
        </w:tc>
        <w:tc>
          <w:tcPr>
            <w:tcW w:type="dxa" w:w="5083"/>
            <w:vAlign w:val="center"/>
            <w:shd w:fill="FFFFFF"/>
          </w:tcPr>
          <w:p>
            <w:pPr>
              <w:spacing w:after="60"/>
            </w:pPr>
            <w:r>
              <w:rPr>
                <w:b w:val="0"/>
                <w:i w:val="0"/>
                <w:sz w:val="22"/>
              </w:rPr>
              <w:t>Winter dormancy; spring and summer growth; late-season flowers.</w:t>
            </w:r>
          </w:p>
        </w:tc>
      </w:tr>
    </w:tbl>
    <w:p>
      <w:pPr>
        <w:spacing w:after="20"/>
      </w:pPr>
    </w:p>
    <w:p>
      <w:pPr>
        <w:pStyle w:val="Heading2"/>
      </w:pPr>
      <w:r>
        <w:t>Native Range and Climate Variation</w:t>
      </w:r>
    </w:p>
    <w:p>
      <w:r>
        <w:rPr>
          <w:b w:val="0"/>
          <w:i w:val="0"/>
        </w:rPr>
        <w:t>Kew lists the species as native across much of the eastern and central United States and parts of Canada. Northern sites have longer cold seasons; southern sites usually have longer warm seasons. Local elevation, slope and canopy add variation within each region. Use locally appropriate seed sources when available. [Kew]</w:t>
      </w:r>
    </w:p>
    <w:p>
      <w:r>
        <w:rPr>
          <w:b w:val="0"/>
          <w:i w:val="0"/>
        </w:rPr>
        <w:t>Lafayette is an inland temperate setting with humid summers and freezing winters. The open airport station describes regional weather. A shaded forest floor may be cooler by day, less windy and slower to dry; soil conditions still need direct observation.</w:t>
      </w:r>
    </w:p>
    <w:p>
      <w:pPr>
        <w:pStyle w:val="Heading2"/>
      </w:pPr>
      <w:r>
        <w:t>Temperature and Precipitation Through the Year</w:t>
      </w:r>
    </w:p>
    <w:p>
      <w:r>
        <w:rPr>
          <w:b w:val="0"/>
          <w:i w:val="0"/>
        </w:rPr>
        <w:t>Monthly normals describe typical long-term conditions, not next month’s forecast or a plant tolerance limit. Temperatures are monthly means, not average daily highs. Precipitation includes the water equivalent of snow. [Normals, NOAA]</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val="0"/>
                <w:sz w:val="22"/>
              </w:rPr>
              <w:t>Month</w:t>
            </w:r>
          </w:p>
        </w:tc>
        <w:tc>
          <w:tcPr>
            <w:tcW w:type="dxa" w:w="2033"/>
            <w:vAlign w:val="center"/>
            <w:shd w:fill="E9EDF0"/>
          </w:tcPr>
          <w:p>
            <w:pPr>
              <w:spacing w:after="60"/>
            </w:pPr>
            <w:r>
              <w:rPr>
                <w:b/>
                <w:i w:val="0"/>
                <w:sz w:val="22"/>
              </w:rPr>
              <w:t>Mean °F</w:t>
            </w:r>
          </w:p>
        </w:tc>
        <w:tc>
          <w:tcPr>
            <w:tcW w:type="dxa" w:w="2033"/>
            <w:vAlign w:val="center"/>
            <w:shd w:fill="E9EDF0"/>
          </w:tcPr>
          <w:p>
            <w:pPr>
              <w:spacing w:after="60"/>
            </w:pPr>
            <w:r>
              <w:rPr>
                <w:b/>
                <w:i w:val="0"/>
                <w:sz w:val="22"/>
              </w:rPr>
              <w:t>Mean °C</w:t>
            </w:r>
          </w:p>
        </w:tc>
        <w:tc>
          <w:tcPr>
            <w:tcW w:type="dxa" w:w="2033"/>
            <w:vAlign w:val="center"/>
            <w:shd w:fill="E9EDF0"/>
          </w:tcPr>
          <w:p>
            <w:pPr>
              <w:spacing w:after="60"/>
            </w:pPr>
            <w:r>
              <w:rPr>
                <w:b/>
                <w:i w:val="0"/>
                <w:sz w:val="22"/>
              </w:rPr>
              <w:t>Precip in</w:t>
            </w:r>
          </w:p>
        </w:tc>
        <w:tc>
          <w:tcPr>
            <w:tcW w:type="dxa" w:w="2033"/>
            <w:vAlign w:val="center"/>
            <w:shd w:fill="E9EDF0"/>
          </w:tcPr>
          <w:p>
            <w:pPr>
              <w:spacing w:after="60"/>
            </w:pPr>
            <w:r>
              <w:rPr>
                <w:b/>
                <w:i w:val="0"/>
                <w:sz w:val="22"/>
              </w:rPr>
              <w:t>Precip mm</w:t>
            </w:r>
          </w:p>
        </w:tc>
      </w:tr>
      <w:tr>
        <w:trPr>
          <w:cantSplit/>
        </w:trPr>
        <w:tc>
          <w:tcPr>
            <w:tcW w:type="dxa" w:w="2033"/>
            <w:vAlign w:val="center"/>
            <w:shd w:fill="FFFFFF"/>
          </w:tcPr>
          <w:p>
            <w:pPr>
              <w:spacing w:after="60"/>
            </w:pPr>
            <w:r>
              <w:rPr>
                <w:b/>
                <w:i w:val="0"/>
                <w:sz w:val="22"/>
              </w:rPr>
              <w:t>Jan</w:t>
            </w:r>
          </w:p>
        </w:tc>
        <w:tc>
          <w:tcPr>
            <w:tcW w:type="dxa" w:w="2033"/>
            <w:vAlign w:val="center"/>
            <w:shd w:fill="FFFFFF"/>
          </w:tcPr>
          <w:p>
            <w:pPr>
              <w:spacing w:after="60"/>
            </w:pPr>
            <w:r>
              <w:rPr>
                <w:b w:val="0"/>
                <w:i w:val="0"/>
                <w:sz w:val="22"/>
              </w:rPr>
              <w:t>25.8</w:t>
            </w:r>
          </w:p>
        </w:tc>
        <w:tc>
          <w:tcPr>
            <w:tcW w:type="dxa" w:w="2033"/>
            <w:vAlign w:val="center"/>
            <w:shd w:fill="FFFFFF"/>
          </w:tcPr>
          <w:p>
            <w:pPr>
              <w:spacing w:after="60"/>
            </w:pPr>
            <w:r>
              <w:rPr>
                <w:b w:val="0"/>
                <w:i w:val="0"/>
                <w:sz w:val="22"/>
              </w:rPr>
              <w:t>-3.4</w:t>
            </w:r>
          </w:p>
        </w:tc>
        <w:tc>
          <w:tcPr>
            <w:tcW w:type="dxa" w:w="2033"/>
            <w:vAlign w:val="center"/>
            <w:shd w:fill="FFFFFF"/>
          </w:tcPr>
          <w:p>
            <w:pPr>
              <w:spacing w:after="60"/>
            </w:pPr>
            <w:r>
              <w:rPr>
                <w:b w:val="0"/>
                <w:i w:val="0"/>
                <w:sz w:val="22"/>
              </w:rPr>
              <w:t>2.19</w:t>
            </w:r>
          </w:p>
        </w:tc>
        <w:tc>
          <w:tcPr>
            <w:tcW w:type="dxa" w:w="2033"/>
            <w:vAlign w:val="center"/>
            <w:shd w:fill="FFFFFF"/>
          </w:tcPr>
          <w:p>
            <w:pPr>
              <w:spacing w:after="60"/>
            </w:pPr>
            <w:r>
              <w:rPr>
                <w:b w:val="0"/>
                <w:i w:val="0"/>
                <w:sz w:val="22"/>
              </w:rPr>
              <w:t>56</w:t>
            </w:r>
          </w:p>
        </w:tc>
      </w:tr>
      <w:tr>
        <w:trPr>
          <w:cantSplit/>
        </w:trPr>
        <w:tc>
          <w:tcPr>
            <w:tcW w:type="dxa" w:w="2033"/>
            <w:vAlign w:val="center"/>
            <w:shd w:fill="FFFFFF"/>
          </w:tcPr>
          <w:p>
            <w:pPr>
              <w:spacing w:after="60"/>
            </w:pPr>
            <w:r>
              <w:rPr>
                <w:b/>
                <w:i w:val="0"/>
                <w:sz w:val="22"/>
              </w:rPr>
              <w:t>Feb</w:t>
            </w:r>
          </w:p>
        </w:tc>
        <w:tc>
          <w:tcPr>
            <w:tcW w:type="dxa" w:w="2033"/>
            <w:vAlign w:val="center"/>
            <w:shd w:fill="FFFFFF"/>
          </w:tcPr>
          <w:p>
            <w:pPr>
              <w:spacing w:after="60"/>
            </w:pPr>
            <w:r>
              <w:rPr>
                <w:b w:val="0"/>
                <w:i w:val="0"/>
                <w:sz w:val="22"/>
              </w:rPr>
              <w:t>29.7</w:t>
            </w:r>
          </w:p>
        </w:tc>
        <w:tc>
          <w:tcPr>
            <w:tcW w:type="dxa" w:w="2033"/>
            <w:vAlign w:val="center"/>
            <w:shd w:fill="FFFFFF"/>
          </w:tcPr>
          <w:p>
            <w:pPr>
              <w:spacing w:after="60"/>
            </w:pPr>
            <w:r>
              <w:rPr>
                <w:b w:val="0"/>
                <w:i w:val="0"/>
                <w:sz w:val="22"/>
              </w:rPr>
              <w:t>-1.3</w:t>
            </w:r>
          </w:p>
        </w:tc>
        <w:tc>
          <w:tcPr>
            <w:tcW w:type="dxa" w:w="2033"/>
            <w:vAlign w:val="center"/>
            <w:shd w:fill="FFFFFF"/>
          </w:tcPr>
          <w:p>
            <w:pPr>
              <w:spacing w:after="60"/>
            </w:pPr>
            <w:r>
              <w:rPr>
                <w:b w:val="0"/>
                <w:i w:val="0"/>
                <w:sz w:val="22"/>
              </w:rPr>
              <w:t>1.78</w:t>
            </w:r>
          </w:p>
        </w:tc>
        <w:tc>
          <w:tcPr>
            <w:tcW w:type="dxa" w:w="2033"/>
            <w:vAlign w:val="center"/>
            <w:shd w:fill="FFFFFF"/>
          </w:tcPr>
          <w:p>
            <w:pPr>
              <w:spacing w:after="60"/>
            </w:pPr>
            <w:r>
              <w:rPr>
                <w:b w:val="0"/>
                <w:i w:val="0"/>
                <w:sz w:val="22"/>
              </w:rPr>
              <w:t>45</w:t>
            </w:r>
          </w:p>
        </w:tc>
      </w:tr>
      <w:tr>
        <w:trPr>
          <w:cantSplit/>
        </w:trPr>
        <w:tc>
          <w:tcPr>
            <w:tcW w:type="dxa" w:w="2033"/>
            <w:vAlign w:val="center"/>
            <w:shd w:fill="FFFFFF"/>
          </w:tcPr>
          <w:p>
            <w:pPr>
              <w:spacing w:after="60"/>
            </w:pPr>
            <w:r>
              <w:rPr>
                <w:b/>
                <w:i w:val="0"/>
                <w:sz w:val="22"/>
              </w:rPr>
              <w:t>Mar</w:t>
            </w:r>
          </w:p>
        </w:tc>
        <w:tc>
          <w:tcPr>
            <w:tcW w:type="dxa" w:w="2033"/>
            <w:vAlign w:val="center"/>
            <w:shd w:fill="FFFFFF"/>
          </w:tcPr>
          <w:p>
            <w:pPr>
              <w:spacing w:after="60"/>
            </w:pPr>
            <w:r>
              <w:rPr>
                <w:b w:val="0"/>
                <w:i w:val="0"/>
                <w:sz w:val="22"/>
              </w:rPr>
              <w:t>40.0</w:t>
            </w:r>
          </w:p>
        </w:tc>
        <w:tc>
          <w:tcPr>
            <w:tcW w:type="dxa" w:w="2033"/>
            <w:vAlign w:val="center"/>
            <w:shd w:fill="FFFFFF"/>
          </w:tcPr>
          <w:p>
            <w:pPr>
              <w:spacing w:after="60"/>
            </w:pPr>
            <w:r>
              <w:rPr>
                <w:b w:val="0"/>
                <w:i w:val="0"/>
                <w:sz w:val="22"/>
              </w:rPr>
              <w:t>4.4</w:t>
            </w:r>
          </w:p>
        </w:tc>
        <w:tc>
          <w:tcPr>
            <w:tcW w:type="dxa" w:w="2033"/>
            <w:vAlign w:val="center"/>
            <w:shd w:fill="FFFFFF"/>
          </w:tcPr>
          <w:p>
            <w:pPr>
              <w:spacing w:after="60"/>
            </w:pPr>
            <w:r>
              <w:rPr>
                <w:b w:val="0"/>
                <w:i w:val="0"/>
                <w:sz w:val="22"/>
              </w:rPr>
              <w:t>2.73</w:t>
            </w:r>
          </w:p>
        </w:tc>
        <w:tc>
          <w:tcPr>
            <w:tcW w:type="dxa" w:w="2033"/>
            <w:vAlign w:val="center"/>
            <w:shd w:fill="FFFFFF"/>
          </w:tcPr>
          <w:p>
            <w:pPr>
              <w:spacing w:after="60"/>
            </w:pPr>
            <w:r>
              <w:rPr>
                <w:b w:val="0"/>
                <w:i w:val="0"/>
                <w:sz w:val="22"/>
              </w:rPr>
              <w:t>69</w:t>
            </w:r>
          </w:p>
        </w:tc>
      </w:tr>
      <w:tr>
        <w:trPr>
          <w:cantSplit/>
        </w:trPr>
        <w:tc>
          <w:tcPr>
            <w:tcW w:type="dxa" w:w="2033"/>
            <w:vAlign w:val="center"/>
            <w:shd w:fill="FFFFFF"/>
          </w:tcPr>
          <w:p>
            <w:pPr>
              <w:spacing w:after="60"/>
            </w:pPr>
            <w:r>
              <w:rPr>
                <w:b/>
                <w:i w:val="0"/>
                <w:sz w:val="22"/>
              </w:rPr>
              <w:t>Apr</w:t>
            </w:r>
          </w:p>
        </w:tc>
        <w:tc>
          <w:tcPr>
            <w:tcW w:type="dxa" w:w="2033"/>
            <w:vAlign w:val="center"/>
            <w:shd w:fill="FFFFFF"/>
          </w:tcPr>
          <w:p>
            <w:pPr>
              <w:spacing w:after="60"/>
            </w:pPr>
            <w:r>
              <w:rPr>
                <w:b w:val="0"/>
                <w:i w:val="0"/>
                <w:sz w:val="22"/>
              </w:rPr>
              <w:t>51.1</w:t>
            </w:r>
          </w:p>
        </w:tc>
        <w:tc>
          <w:tcPr>
            <w:tcW w:type="dxa" w:w="2033"/>
            <w:vAlign w:val="center"/>
            <w:shd w:fill="FFFFFF"/>
          </w:tcPr>
          <w:p>
            <w:pPr>
              <w:spacing w:after="60"/>
            </w:pPr>
            <w:r>
              <w:rPr>
                <w:b w:val="0"/>
                <w:i w:val="0"/>
                <w:sz w:val="22"/>
              </w:rPr>
              <w:t>10.6</w:t>
            </w:r>
          </w:p>
        </w:tc>
        <w:tc>
          <w:tcPr>
            <w:tcW w:type="dxa" w:w="2033"/>
            <w:vAlign w:val="center"/>
            <w:shd w:fill="FFFFFF"/>
          </w:tcPr>
          <w:p>
            <w:pPr>
              <w:spacing w:after="60"/>
            </w:pPr>
            <w:r>
              <w:rPr>
                <w:b w:val="0"/>
                <w:i w:val="0"/>
                <w:sz w:val="22"/>
              </w:rPr>
              <w:t>3.84</w:t>
            </w:r>
          </w:p>
        </w:tc>
        <w:tc>
          <w:tcPr>
            <w:tcW w:type="dxa" w:w="2033"/>
            <w:vAlign w:val="center"/>
            <w:shd w:fill="FFFFFF"/>
          </w:tcPr>
          <w:p>
            <w:pPr>
              <w:spacing w:after="60"/>
            </w:pPr>
            <w:r>
              <w:rPr>
                <w:b w:val="0"/>
                <w:i w:val="0"/>
                <w:sz w:val="22"/>
              </w:rPr>
              <w:t>98</w:t>
            </w:r>
          </w:p>
        </w:tc>
      </w:tr>
      <w:tr>
        <w:trPr>
          <w:cantSplit/>
        </w:trPr>
        <w:tc>
          <w:tcPr>
            <w:tcW w:type="dxa" w:w="2033"/>
            <w:vAlign w:val="center"/>
            <w:shd w:fill="FFFFFF"/>
          </w:tcPr>
          <w:p>
            <w:pPr>
              <w:spacing w:after="60"/>
            </w:pPr>
            <w:r>
              <w:rPr>
                <w:b/>
                <w:i w:val="0"/>
                <w:sz w:val="22"/>
              </w:rPr>
              <w:t>May</w:t>
            </w:r>
          </w:p>
        </w:tc>
        <w:tc>
          <w:tcPr>
            <w:tcW w:type="dxa" w:w="2033"/>
            <w:vAlign w:val="center"/>
            <w:shd w:fill="FFFFFF"/>
          </w:tcPr>
          <w:p>
            <w:pPr>
              <w:spacing w:after="60"/>
            </w:pPr>
            <w:r>
              <w:rPr>
                <w:b w:val="0"/>
                <w:i w:val="0"/>
                <w:sz w:val="22"/>
              </w:rPr>
              <w:t>61.6</w:t>
            </w:r>
          </w:p>
        </w:tc>
        <w:tc>
          <w:tcPr>
            <w:tcW w:type="dxa" w:w="2033"/>
            <w:vAlign w:val="center"/>
            <w:shd w:fill="FFFFFF"/>
          </w:tcPr>
          <w:p>
            <w:pPr>
              <w:spacing w:after="60"/>
            </w:pPr>
            <w:r>
              <w:rPr>
                <w:b w:val="0"/>
                <w:i w:val="0"/>
                <w:sz w:val="22"/>
              </w:rPr>
              <w:t>16.4</w:t>
            </w:r>
          </w:p>
        </w:tc>
        <w:tc>
          <w:tcPr>
            <w:tcW w:type="dxa" w:w="2033"/>
            <w:vAlign w:val="center"/>
            <w:shd w:fill="FFFFFF"/>
          </w:tcPr>
          <w:p>
            <w:pPr>
              <w:spacing w:after="60"/>
            </w:pPr>
            <w:r>
              <w:rPr>
                <w:b w:val="0"/>
                <w:i w:val="0"/>
                <w:sz w:val="22"/>
              </w:rPr>
              <w:t>4.04</w:t>
            </w:r>
          </w:p>
        </w:tc>
        <w:tc>
          <w:tcPr>
            <w:tcW w:type="dxa" w:w="2033"/>
            <w:vAlign w:val="center"/>
            <w:shd w:fill="FFFFFF"/>
          </w:tcPr>
          <w:p>
            <w:pPr>
              <w:spacing w:after="60"/>
            </w:pPr>
            <w:r>
              <w:rPr>
                <w:b w:val="0"/>
                <w:i w:val="0"/>
                <w:sz w:val="22"/>
              </w:rPr>
              <w:t>103</w:t>
            </w:r>
          </w:p>
        </w:tc>
      </w:tr>
      <w:tr>
        <w:trPr>
          <w:cantSplit/>
        </w:trPr>
        <w:tc>
          <w:tcPr>
            <w:tcW w:type="dxa" w:w="2033"/>
            <w:vAlign w:val="center"/>
            <w:shd w:fill="FFFFFF"/>
          </w:tcPr>
          <w:p>
            <w:pPr>
              <w:spacing w:after="60"/>
            </w:pPr>
            <w:r>
              <w:rPr>
                <w:b/>
                <w:i w:val="0"/>
                <w:sz w:val="22"/>
              </w:rPr>
              <w:t>Jun</w:t>
            </w:r>
          </w:p>
        </w:tc>
        <w:tc>
          <w:tcPr>
            <w:tcW w:type="dxa" w:w="2033"/>
            <w:vAlign w:val="center"/>
            <w:shd w:fill="FFFFFF"/>
          </w:tcPr>
          <w:p>
            <w:pPr>
              <w:spacing w:after="60"/>
            </w:pPr>
            <w:r>
              <w:rPr>
                <w:b w:val="0"/>
                <w:i w:val="0"/>
                <w:sz w:val="22"/>
              </w:rPr>
              <w:t>70.7</w:t>
            </w:r>
          </w:p>
        </w:tc>
        <w:tc>
          <w:tcPr>
            <w:tcW w:type="dxa" w:w="2033"/>
            <w:vAlign w:val="center"/>
            <w:shd w:fill="FFFFFF"/>
          </w:tcPr>
          <w:p>
            <w:pPr>
              <w:spacing w:after="60"/>
            </w:pPr>
            <w:r>
              <w:rPr>
                <w:b w:val="0"/>
                <w:i w:val="0"/>
                <w:sz w:val="22"/>
              </w:rPr>
              <w:t>21.5</w:t>
            </w:r>
          </w:p>
        </w:tc>
        <w:tc>
          <w:tcPr>
            <w:tcW w:type="dxa" w:w="2033"/>
            <w:vAlign w:val="center"/>
            <w:shd w:fill="FFFFFF"/>
          </w:tcPr>
          <w:p>
            <w:pPr>
              <w:spacing w:after="60"/>
            </w:pPr>
            <w:r>
              <w:rPr>
                <w:b w:val="0"/>
                <w:i w:val="0"/>
                <w:sz w:val="22"/>
              </w:rPr>
              <w:t>4.56</w:t>
            </w:r>
          </w:p>
        </w:tc>
        <w:tc>
          <w:tcPr>
            <w:tcW w:type="dxa" w:w="2033"/>
            <w:vAlign w:val="center"/>
            <w:shd w:fill="FFFFFF"/>
          </w:tcPr>
          <w:p>
            <w:pPr>
              <w:spacing w:after="60"/>
            </w:pPr>
            <w:r>
              <w:rPr>
                <w:b w:val="0"/>
                <w:i w:val="0"/>
                <w:sz w:val="22"/>
              </w:rPr>
              <w:t>116</w:t>
            </w:r>
          </w:p>
        </w:tc>
      </w:tr>
      <w:tr>
        <w:trPr>
          <w:cantSplit/>
        </w:trPr>
        <w:tc>
          <w:tcPr>
            <w:tcW w:type="dxa" w:w="2033"/>
            <w:vAlign w:val="center"/>
            <w:shd w:fill="FFFFFF"/>
          </w:tcPr>
          <w:p>
            <w:pPr>
              <w:spacing w:after="60"/>
            </w:pPr>
            <w:r>
              <w:rPr>
                <w:b/>
                <w:i w:val="0"/>
                <w:sz w:val="22"/>
              </w:rPr>
              <w:t>Jul</w:t>
            </w:r>
          </w:p>
        </w:tc>
        <w:tc>
          <w:tcPr>
            <w:tcW w:type="dxa" w:w="2033"/>
            <w:vAlign w:val="center"/>
            <w:shd w:fill="FFFFFF"/>
          </w:tcPr>
          <w:p>
            <w:pPr>
              <w:spacing w:after="60"/>
            </w:pPr>
            <w:r>
              <w:rPr>
                <w:b w:val="0"/>
                <w:i w:val="0"/>
                <w:sz w:val="22"/>
              </w:rPr>
              <w:t>73.6</w:t>
            </w:r>
          </w:p>
        </w:tc>
        <w:tc>
          <w:tcPr>
            <w:tcW w:type="dxa" w:w="2033"/>
            <w:vAlign w:val="center"/>
            <w:shd w:fill="FFFFFF"/>
          </w:tcPr>
          <w:p>
            <w:pPr>
              <w:spacing w:after="60"/>
            </w:pPr>
            <w:r>
              <w:rPr>
                <w:b w:val="0"/>
                <w:i w:val="0"/>
                <w:sz w:val="22"/>
              </w:rPr>
              <w:t>23.1</w:t>
            </w:r>
          </w:p>
        </w:tc>
        <w:tc>
          <w:tcPr>
            <w:tcW w:type="dxa" w:w="2033"/>
            <w:vAlign w:val="center"/>
            <w:shd w:fill="FFFFFF"/>
          </w:tcPr>
          <w:p>
            <w:pPr>
              <w:spacing w:after="60"/>
            </w:pPr>
            <w:r>
              <w:rPr>
                <w:b w:val="0"/>
                <w:i w:val="0"/>
                <w:sz w:val="22"/>
              </w:rPr>
              <w:t>4.08</w:t>
            </w:r>
          </w:p>
        </w:tc>
        <w:tc>
          <w:tcPr>
            <w:tcW w:type="dxa" w:w="2033"/>
            <w:vAlign w:val="center"/>
            <w:shd w:fill="FFFFFF"/>
          </w:tcPr>
          <w:p>
            <w:pPr>
              <w:spacing w:after="60"/>
            </w:pPr>
            <w:r>
              <w:rPr>
                <w:b w:val="0"/>
                <w:i w:val="0"/>
                <w:sz w:val="22"/>
              </w:rPr>
              <w:t>104</w:t>
            </w:r>
          </w:p>
        </w:tc>
      </w:tr>
      <w:tr>
        <w:trPr>
          <w:cantSplit/>
        </w:trPr>
        <w:tc>
          <w:tcPr>
            <w:tcW w:type="dxa" w:w="2033"/>
            <w:vAlign w:val="center"/>
            <w:shd w:fill="FFFFFF"/>
          </w:tcPr>
          <w:p>
            <w:pPr>
              <w:spacing w:after="60"/>
            </w:pPr>
            <w:r>
              <w:rPr>
                <w:b/>
                <w:i w:val="0"/>
                <w:sz w:val="22"/>
              </w:rPr>
              <w:t>Aug</w:t>
            </w:r>
          </w:p>
        </w:tc>
        <w:tc>
          <w:tcPr>
            <w:tcW w:type="dxa" w:w="2033"/>
            <w:vAlign w:val="center"/>
            <w:shd w:fill="FFFFFF"/>
          </w:tcPr>
          <w:p>
            <w:pPr>
              <w:spacing w:after="60"/>
            </w:pPr>
            <w:r>
              <w:rPr>
                <w:b w:val="0"/>
                <w:i w:val="0"/>
                <w:sz w:val="22"/>
              </w:rPr>
              <w:t>72.2</w:t>
            </w:r>
          </w:p>
        </w:tc>
        <w:tc>
          <w:tcPr>
            <w:tcW w:type="dxa" w:w="2033"/>
            <w:vAlign w:val="center"/>
            <w:shd w:fill="FFFFFF"/>
          </w:tcPr>
          <w:p>
            <w:pPr>
              <w:spacing w:after="60"/>
            </w:pPr>
            <w:r>
              <w:rPr>
                <w:b w:val="0"/>
                <w:i w:val="0"/>
                <w:sz w:val="22"/>
              </w:rPr>
              <w:t>22.3</w:t>
            </w:r>
          </w:p>
        </w:tc>
        <w:tc>
          <w:tcPr>
            <w:tcW w:type="dxa" w:w="2033"/>
            <w:vAlign w:val="center"/>
            <w:shd w:fill="FFFFFF"/>
          </w:tcPr>
          <w:p>
            <w:pPr>
              <w:spacing w:after="60"/>
            </w:pPr>
            <w:r>
              <w:rPr>
                <w:b w:val="0"/>
                <w:i w:val="0"/>
                <w:sz w:val="22"/>
              </w:rPr>
              <w:t>3.12</w:t>
            </w:r>
          </w:p>
        </w:tc>
        <w:tc>
          <w:tcPr>
            <w:tcW w:type="dxa" w:w="2033"/>
            <w:vAlign w:val="center"/>
            <w:shd w:fill="FFFFFF"/>
          </w:tcPr>
          <w:p>
            <w:pPr>
              <w:spacing w:after="60"/>
            </w:pPr>
            <w:r>
              <w:rPr>
                <w:b w:val="0"/>
                <w:i w:val="0"/>
                <w:sz w:val="22"/>
              </w:rPr>
              <w:t>79</w:t>
            </w:r>
          </w:p>
        </w:tc>
      </w:tr>
      <w:tr>
        <w:trPr>
          <w:cantSplit/>
        </w:trPr>
        <w:tc>
          <w:tcPr>
            <w:tcW w:type="dxa" w:w="2033"/>
            <w:vAlign w:val="center"/>
            <w:shd w:fill="FFFFFF"/>
          </w:tcPr>
          <w:p>
            <w:pPr>
              <w:spacing w:after="60"/>
            </w:pPr>
            <w:r>
              <w:rPr>
                <w:b/>
                <w:i w:val="0"/>
                <w:sz w:val="22"/>
              </w:rPr>
              <w:t>Sep</w:t>
            </w:r>
          </w:p>
        </w:tc>
        <w:tc>
          <w:tcPr>
            <w:tcW w:type="dxa" w:w="2033"/>
            <w:vAlign w:val="center"/>
            <w:shd w:fill="FFFFFF"/>
          </w:tcPr>
          <w:p>
            <w:pPr>
              <w:spacing w:after="60"/>
            </w:pPr>
            <w:r>
              <w:rPr>
                <w:b w:val="0"/>
                <w:i w:val="0"/>
                <w:sz w:val="22"/>
              </w:rPr>
              <w:t>65.5</w:t>
            </w:r>
          </w:p>
        </w:tc>
        <w:tc>
          <w:tcPr>
            <w:tcW w:type="dxa" w:w="2033"/>
            <w:vAlign w:val="center"/>
            <w:shd w:fill="FFFFFF"/>
          </w:tcPr>
          <w:p>
            <w:pPr>
              <w:spacing w:after="60"/>
            </w:pPr>
            <w:r>
              <w:rPr>
                <w:b w:val="0"/>
                <w:i w:val="0"/>
                <w:sz w:val="22"/>
              </w:rPr>
              <w:t>18.6</w:t>
            </w:r>
          </w:p>
        </w:tc>
        <w:tc>
          <w:tcPr>
            <w:tcW w:type="dxa" w:w="2033"/>
            <w:vAlign w:val="center"/>
            <w:shd w:fill="FFFFFF"/>
          </w:tcPr>
          <w:p>
            <w:pPr>
              <w:spacing w:after="60"/>
            </w:pPr>
            <w:r>
              <w:rPr>
                <w:b w:val="0"/>
                <w:i w:val="0"/>
                <w:sz w:val="22"/>
              </w:rPr>
              <w:t>2.59</w:t>
            </w:r>
          </w:p>
        </w:tc>
        <w:tc>
          <w:tcPr>
            <w:tcW w:type="dxa" w:w="2033"/>
            <w:vAlign w:val="center"/>
            <w:shd w:fill="FFFFFF"/>
          </w:tcPr>
          <w:p>
            <w:pPr>
              <w:spacing w:after="60"/>
            </w:pPr>
            <w:r>
              <w:rPr>
                <w:b w:val="0"/>
                <w:i w:val="0"/>
                <w:sz w:val="22"/>
              </w:rPr>
              <w:t>66</w:t>
            </w:r>
          </w:p>
        </w:tc>
      </w:tr>
      <w:tr>
        <w:trPr>
          <w:cantSplit/>
        </w:trPr>
        <w:tc>
          <w:tcPr>
            <w:tcW w:type="dxa" w:w="2033"/>
            <w:vAlign w:val="center"/>
            <w:shd w:fill="FFFFFF"/>
          </w:tcPr>
          <w:p>
            <w:pPr>
              <w:spacing w:after="60"/>
            </w:pPr>
            <w:r>
              <w:rPr>
                <w:b/>
                <w:i w:val="0"/>
                <w:sz w:val="22"/>
              </w:rPr>
              <w:t>Oct</w:t>
            </w:r>
          </w:p>
        </w:tc>
        <w:tc>
          <w:tcPr>
            <w:tcW w:type="dxa" w:w="2033"/>
            <w:vAlign w:val="center"/>
            <w:shd w:fill="FFFFFF"/>
          </w:tcPr>
          <w:p>
            <w:pPr>
              <w:spacing w:after="60"/>
            </w:pPr>
            <w:r>
              <w:rPr>
                <w:b w:val="0"/>
                <w:i w:val="0"/>
                <w:sz w:val="22"/>
              </w:rPr>
              <w:t>53.7</w:t>
            </w:r>
          </w:p>
        </w:tc>
        <w:tc>
          <w:tcPr>
            <w:tcW w:type="dxa" w:w="2033"/>
            <w:vAlign w:val="center"/>
            <w:shd w:fill="FFFFFF"/>
          </w:tcPr>
          <w:p>
            <w:pPr>
              <w:spacing w:after="60"/>
            </w:pPr>
            <w:r>
              <w:rPr>
                <w:b w:val="0"/>
                <w:i w:val="0"/>
                <w:sz w:val="22"/>
              </w:rPr>
              <w:t>12.1</w:t>
            </w:r>
          </w:p>
        </w:tc>
        <w:tc>
          <w:tcPr>
            <w:tcW w:type="dxa" w:w="2033"/>
            <w:vAlign w:val="center"/>
            <w:shd w:fill="FFFFFF"/>
          </w:tcPr>
          <w:p>
            <w:pPr>
              <w:spacing w:after="60"/>
            </w:pPr>
            <w:r>
              <w:rPr>
                <w:b w:val="0"/>
                <w:i w:val="0"/>
                <w:sz w:val="22"/>
              </w:rPr>
              <w:t>2.91</w:t>
            </w:r>
          </w:p>
        </w:tc>
        <w:tc>
          <w:tcPr>
            <w:tcW w:type="dxa" w:w="2033"/>
            <w:vAlign w:val="center"/>
            <w:shd w:fill="FFFFFF"/>
          </w:tcPr>
          <w:p>
            <w:pPr>
              <w:spacing w:after="60"/>
            </w:pPr>
            <w:r>
              <w:rPr>
                <w:b w:val="0"/>
                <w:i w:val="0"/>
                <w:sz w:val="22"/>
              </w:rPr>
              <w:t>74</w:t>
            </w:r>
          </w:p>
        </w:tc>
      </w:tr>
      <w:tr>
        <w:trPr>
          <w:cantSplit/>
        </w:trPr>
        <w:tc>
          <w:tcPr>
            <w:tcW w:type="dxa" w:w="2033"/>
            <w:vAlign w:val="center"/>
            <w:shd w:fill="FFFFFF"/>
          </w:tcPr>
          <w:p>
            <w:pPr>
              <w:spacing w:after="60"/>
            </w:pPr>
            <w:r>
              <w:rPr>
                <w:b/>
                <w:i w:val="0"/>
                <w:sz w:val="22"/>
              </w:rPr>
              <w:t>Nov</w:t>
            </w:r>
          </w:p>
        </w:tc>
        <w:tc>
          <w:tcPr>
            <w:tcW w:type="dxa" w:w="2033"/>
            <w:vAlign w:val="center"/>
            <w:shd w:fill="FFFFFF"/>
          </w:tcPr>
          <w:p>
            <w:pPr>
              <w:spacing w:after="60"/>
            </w:pPr>
            <w:r>
              <w:rPr>
                <w:b w:val="0"/>
                <w:i w:val="0"/>
                <w:sz w:val="22"/>
              </w:rPr>
              <w:t>41.3</w:t>
            </w:r>
          </w:p>
        </w:tc>
        <w:tc>
          <w:tcPr>
            <w:tcW w:type="dxa" w:w="2033"/>
            <w:vAlign w:val="center"/>
            <w:shd w:fill="FFFFFF"/>
          </w:tcPr>
          <w:p>
            <w:pPr>
              <w:spacing w:after="60"/>
            </w:pPr>
            <w:r>
              <w:rPr>
                <w:b w:val="0"/>
                <w:i w:val="0"/>
                <w:sz w:val="22"/>
              </w:rPr>
              <w:t>5.2</w:t>
            </w:r>
          </w:p>
        </w:tc>
        <w:tc>
          <w:tcPr>
            <w:tcW w:type="dxa" w:w="2033"/>
            <w:vAlign w:val="center"/>
            <w:shd w:fill="FFFFFF"/>
          </w:tcPr>
          <w:p>
            <w:pPr>
              <w:spacing w:after="60"/>
            </w:pPr>
            <w:r>
              <w:rPr>
                <w:b w:val="0"/>
                <w:i w:val="0"/>
                <w:sz w:val="22"/>
              </w:rPr>
              <w:t>2.87</w:t>
            </w:r>
          </w:p>
        </w:tc>
        <w:tc>
          <w:tcPr>
            <w:tcW w:type="dxa" w:w="2033"/>
            <w:vAlign w:val="center"/>
            <w:shd w:fill="FFFFFF"/>
          </w:tcPr>
          <w:p>
            <w:pPr>
              <w:spacing w:after="60"/>
            </w:pPr>
            <w:r>
              <w:rPr>
                <w:b w:val="0"/>
                <w:i w:val="0"/>
                <w:sz w:val="22"/>
              </w:rPr>
              <w:t>73</w:t>
            </w:r>
          </w:p>
        </w:tc>
      </w:tr>
      <w:tr>
        <w:trPr>
          <w:cantSplit/>
        </w:trPr>
        <w:tc>
          <w:tcPr>
            <w:tcW w:type="dxa" w:w="2033"/>
            <w:vAlign w:val="center"/>
            <w:shd w:fill="FFFFFF"/>
          </w:tcPr>
          <w:p>
            <w:pPr>
              <w:spacing w:after="60"/>
            </w:pPr>
            <w:r>
              <w:rPr>
                <w:b/>
                <w:i w:val="0"/>
                <w:sz w:val="22"/>
              </w:rPr>
              <w:t>Dec</w:t>
            </w:r>
          </w:p>
        </w:tc>
        <w:tc>
          <w:tcPr>
            <w:tcW w:type="dxa" w:w="2033"/>
            <w:vAlign w:val="center"/>
            <w:shd w:fill="FFFFFF"/>
          </w:tcPr>
          <w:p>
            <w:pPr>
              <w:spacing w:after="60"/>
            </w:pPr>
            <w:r>
              <w:rPr>
                <w:b w:val="0"/>
                <w:i w:val="0"/>
                <w:sz w:val="22"/>
              </w:rPr>
              <w:t>31.0</w:t>
            </w:r>
          </w:p>
        </w:tc>
        <w:tc>
          <w:tcPr>
            <w:tcW w:type="dxa" w:w="2033"/>
            <w:vAlign w:val="center"/>
            <w:shd w:fill="FFFFFF"/>
          </w:tcPr>
          <w:p>
            <w:pPr>
              <w:spacing w:after="60"/>
            </w:pPr>
            <w:r>
              <w:rPr>
                <w:b w:val="0"/>
                <w:i w:val="0"/>
                <w:sz w:val="22"/>
              </w:rPr>
              <w:t>-0.6</w:t>
            </w:r>
          </w:p>
        </w:tc>
        <w:tc>
          <w:tcPr>
            <w:tcW w:type="dxa" w:w="2033"/>
            <w:vAlign w:val="center"/>
            <w:shd w:fill="FFFFFF"/>
          </w:tcPr>
          <w:p>
            <w:pPr>
              <w:spacing w:after="60"/>
            </w:pPr>
            <w:r>
              <w:rPr>
                <w:b w:val="0"/>
                <w:i w:val="0"/>
                <w:sz w:val="22"/>
              </w:rPr>
              <w:t>2.29</w:t>
            </w:r>
          </w:p>
        </w:tc>
        <w:tc>
          <w:tcPr>
            <w:tcW w:type="dxa" w:w="2033"/>
            <w:vAlign w:val="center"/>
            <w:shd w:fill="FFFFFF"/>
          </w:tcPr>
          <w:p>
            <w:pPr>
              <w:spacing w:after="60"/>
            </w:pPr>
            <w:r>
              <w:rPr>
                <w:b w:val="0"/>
                <w:i w:val="0"/>
                <w:sz w:val="22"/>
              </w:rPr>
              <w:t>58</w:t>
            </w:r>
          </w:p>
        </w:tc>
      </w:tr>
    </w:tbl>
    <w:p>
      <w:pPr>
        <w:spacing w:after="20"/>
      </w:pPr>
    </w:p>
    <w:p>
      <w:r>
        <w:rPr>
          <w:b w:val="0"/>
          <w:i w:val="0"/>
        </w:rPr>
        <w:t>Source: NOAA NCEI, station USW00014835, 1991–2020. Metric values were converted from the published Fahrenheit and inch values and rounded. [NOAA]</w:t>
      </w:r>
    </w:p>
    <w:p>
      <w:pPr>
        <w:pStyle w:val="Heading2"/>
      </w:pPr>
      <w:r>
        <w:t>Seasonal Routine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Season</w:t>
            </w:r>
          </w:p>
        </w:tc>
        <w:tc>
          <w:tcPr>
            <w:tcW w:type="dxa" w:w="5083"/>
            <w:vAlign w:val="center"/>
            <w:shd w:fill="E9EDF0"/>
          </w:tcPr>
          <w:p>
            <w:pPr>
              <w:spacing w:after="60"/>
            </w:pPr>
            <w:r>
              <w:rPr>
                <w:b/>
                <w:i w:val="0"/>
                <w:sz w:val="22"/>
              </w:rPr>
              <w:t>Plant and garden response</w:t>
            </w:r>
          </w:p>
        </w:tc>
      </w:tr>
      <w:tr>
        <w:trPr>
          <w:cantSplit/>
        </w:trPr>
        <w:tc>
          <w:tcPr>
            <w:tcW w:type="dxa" w:w="5083"/>
            <w:vAlign w:val="center"/>
            <w:shd w:fill="FFFFFF"/>
          </w:tcPr>
          <w:p>
            <w:pPr>
              <w:spacing w:after="60"/>
            </w:pPr>
            <w:r>
              <w:rPr>
                <w:b/>
                <w:i w:val="0"/>
                <w:sz w:val="22"/>
              </w:rPr>
              <w:t>Winter</w:t>
            </w:r>
          </w:p>
        </w:tc>
        <w:tc>
          <w:tcPr>
            <w:tcW w:type="dxa" w:w="5083"/>
            <w:vAlign w:val="center"/>
            <w:shd w:fill="FFFFFF"/>
          </w:tcPr>
          <w:p>
            <w:pPr>
              <w:spacing w:after="60"/>
            </w:pPr>
            <w:r>
              <w:rPr>
                <w:b w:val="0"/>
                <w:i w:val="0"/>
                <w:sz w:val="22"/>
              </w:rPr>
              <w:t>Aboveground shoots are dormant. Leave outdoor seed pots labeled and drained; moist cold treatment prepares seed for germination.</w:t>
            </w:r>
          </w:p>
        </w:tc>
      </w:tr>
      <w:tr>
        <w:trPr>
          <w:cantSplit/>
        </w:trPr>
        <w:tc>
          <w:tcPr>
            <w:tcW w:type="dxa" w:w="5083"/>
            <w:vAlign w:val="center"/>
            <w:shd w:fill="FFFFFF"/>
          </w:tcPr>
          <w:p>
            <w:pPr>
              <w:spacing w:after="60"/>
            </w:pPr>
            <w:r>
              <w:rPr>
                <w:b/>
                <w:i w:val="0"/>
                <w:sz w:val="22"/>
              </w:rPr>
              <w:t>Spring</w:t>
            </w:r>
          </w:p>
        </w:tc>
        <w:tc>
          <w:tcPr>
            <w:tcW w:type="dxa" w:w="5083"/>
            <w:vAlign w:val="center"/>
            <w:shd w:fill="FFFFFF"/>
          </w:tcPr>
          <w:p>
            <w:pPr>
              <w:spacing w:after="60"/>
            </w:pPr>
            <w:r>
              <w:rPr>
                <w:b w:val="0"/>
                <w:i w:val="0"/>
                <w:sz w:val="22"/>
              </w:rPr>
              <w:t>Watch for seedlings and crown growth. Divide established plants if needed and protect tender nursery growth from abrupt exposure.</w:t>
            </w:r>
          </w:p>
        </w:tc>
      </w:tr>
      <w:tr>
        <w:trPr>
          <w:cantSplit/>
        </w:trPr>
        <w:tc>
          <w:tcPr>
            <w:tcW w:type="dxa" w:w="5083"/>
            <w:vAlign w:val="center"/>
            <w:shd w:fill="FFFFFF"/>
          </w:tcPr>
          <w:p>
            <w:pPr>
              <w:spacing w:after="60"/>
            </w:pPr>
            <w:r>
              <w:rPr>
                <w:b/>
                <w:i w:val="0"/>
                <w:sz w:val="22"/>
              </w:rPr>
              <w:t>Summer</w:t>
            </w:r>
          </w:p>
        </w:tc>
        <w:tc>
          <w:tcPr>
            <w:tcW w:type="dxa" w:w="5083"/>
            <w:vAlign w:val="center"/>
            <w:shd w:fill="FFFFFF"/>
          </w:tcPr>
          <w:p>
            <w:pPr>
              <w:spacing w:after="60"/>
            </w:pPr>
            <w:r>
              <w:rPr>
                <w:b w:val="0"/>
                <w:i w:val="0"/>
                <w:sz w:val="22"/>
              </w:rPr>
              <w:t>Maintain appropriate shade and check moisture during dry spells. An average wet month can still contain a damaging dry interval.</w:t>
            </w:r>
          </w:p>
        </w:tc>
      </w:tr>
      <w:tr>
        <w:trPr>
          <w:cantSplit/>
        </w:trPr>
        <w:tc>
          <w:tcPr>
            <w:tcW w:type="dxa" w:w="5083"/>
            <w:vAlign w:val="center"/>
            <w:shd w:fill="FFFFFF"/>
          </w:tcPr>
          <w:p>
            <w:pPr>
              <w:spacing w:after="60"/>
            </w:pPr>
            <w:r>
              <w:rPr>
                <w:b/>
                <w:i w:val="0"/>
                <w:sz w:val="22"/>
              </w:rPr>
              <w:t>Autumn</w:t>
            </w:r>
          </w:p>
        </w:tc>
        <w:tc>
          <w:tcPr>
            <w:tcW w:type="dxa" w:w="5083"/>
            <w:vAlign w:val="center"/>
            <w:shd w:fill="FFFFFF"/>
          </w:tcPr>
          <w:p>
            <w:pPr>
              <w:spacing w:after="60"/>
            </w:pPr>
            <w:r>
              <w:rPr>
                <w:b w:val="0"/>
                <w:i w:val="0"/>
                <w:sz w:val="22"/>
              </w:rPr>
              <w:t>Observe flowering, then either retain some seed heads or remove them before dispersal. Sow seed outdoors before winter. [Seed]</w:t>
            </w:r>
          </w:p>
        </w:tc>
      </w:tr>
    </w:tbl>
    <w:p>
      <w:pPr>
        <w:spacing w:after="20"/>
      </w:pPr>
    </w:p>
    <w:p>
      <w:pPr>
        <w:pStyle w:val="Heading2"/>
      </w:pPr>
      <w:r>
        <w:t>Microclimates and Extremes</w:t>
      </w:r>
    </w:p>
    <w:p>
      <w:r>
        <w:rPr>
          <w:b w:val="0"/>
          <w:i w:val="0"/>
        </w:rPr>
        <w:t>Walls and paving can increase heat and reflected light; wooded hollows can retain cold air. Assess conditions at the plant before moving or shading it. Protect drainage during heavy rain and check soil moisture during heat and drought. [Climate]</w:t>
      </w:r>
    </w:p>
    <w:p>
      <w:pPr>
        <w:pStyle w:val="Heading2"/>
      </w:pPr>
      <w:r>
        <w:t>Observed Change and Future Outlook</w:t>
      </w:r>
    </w:p>
    <w:p>
      <w:r>
        <w:rPr>
          <w:b w:val="0"/>
          <w:i w:val="0"/>
        </w:rPr>
        <w:t>NOAA’s 2022 Indiana assessment, using observations through 2020, describes winter and spring warming and wetter recent decades. It projects further warming, wetter winters and springs, heavier rain events and potentially stronger drought as evaporation increases. These regional findings do not predict local white snakeroot abundance. [Climate]</w:t>
      </w:r>
    </w:p>
    <w:p>
      <w:r>
        <w:rPr>
          <w:b w:val="0"/>
          <w:i w:val="0"/>
        </w:rPr>
        <w:t>Practical inference: retain suitable canopy, avoid soil compaction and record emergence and flowering dates. Higher annual rainfall does not guarantee summer soil moisture.</w:t>
      </w:r>
    </w:p>
    <w:p>
      <w:pPr>
        <w:pStyle w:val="Heading2"/>
      </w:pPr>
      <w:r>
        <w:t>Germination Connection</w:t>
      </w:r>
    </w:p>
    <w:p>
      <w:r>
        <w:rPr>
          <w:b w:val="0"/>
          <w:i w:val="0"/>
        </w:rPr>
        <w:t>Provide at least 60 days of moist cold below 40°F (4.4°C), then light exposure as conditions warm. Record treatment dates; regional winter averages cannot verify treatment of a particular seed lot. See the Plant sheet for the full surface-sowing procedure. [Seed]</w:t>
      </w:r>
    </w:p>
    <w:p>
      <w:hyperlink r:id="rId22">
        <w:r>
          <w:rPr>
            <w:color w:val="245B43"/>
            <w:u w:val="single"/>
          </w:rPr>
          <w:t>[Kew] Kew Plants of the World Online</w:t>
        </w:r>
      </w:hyperlink>
    </w:p>
    <w:p>
      <w:hyperlink r:id="rId38">
        <w:r>
          <w:rPr>
            <w:color w:val="245B43"/>
            <w:u w:val="single"/>
          </w:rPr>
          <w:t>[NOAA] NOAA NCEI Lafayette monthly normals 1991 to 2020</w:t>
        </w:r>
      </w:hyperlink>
    </w:p>
    <w:p>
      <w:hyperlink r:id="rId39">
        <w:r>
          <w:rPr>
            <w:color w:val="245B43"/>
            <w:u w:val="single"/>
          </w:rPr>
          <w:t>[Normals] NOAA explanation of climate normals</w:t>
        </w:r>
      </w:hyperlink>
    </w:p>
    <w:p>
      <w:hyperlink r:id="rId40">
        <w:r>
          <w:rPr>
            <w:color w:val="245B43"/>
            <w:u w:val="single"/>
          </w:rPr>
          <w:t>[Climate] NOAA Indiana State Climate Summary 2022</w:t>
        </w:r>
      </w:hyperlink>
    </w:p>
    <w:p>
      <w:hyperlink r:id="rId25">
        <w:r>
          <w:rPr>
            <w:color w:val="245B43"/>
            <w:u w:val="single"/>
          </w:rPr>
          <w:t>[Seed] Wild Seed Project species and sowing protocol</w:t>
        </w:r>
      </w:hyperlink>
    </w:p>
    <w:p>
      <w:hyperlink r:id="rId19">
        <w:r>
          <w:rPr>
            <w:color w:val="245B43"/>
            <w:u w:val="single"/>
          </w:rPr>
          <w:t>Deciduous woodland at Turkey Run State Park</w:t>
        </w:r>
      </w:hyperlink>
      <w:r>
        <w:t xml:space="preserve"> — Daniel Schwen. </w:t>
      </w:r>
      <w:hyperlink r:id="rId14">
        <w:r>
          <w:rPr>
            <w:color w:val="245B43"/>
            <w:u w:val="single"/>
          </w:rPr>
          <w:t>CC BY-SA 4.0</w:t>
        </w:r>
      </w:hyperlink>
    </w:p>
    <w:p>
      <w:pPr>
        <w:pStyle w:val="Heading2"/>
      </w:pPr>
      <w:r>
        <w:t>Related Information Sheets</w:t>
      </w:r>
    </w:p>
    <w:p>
      <w:hyperlink r:id="rId11">
        <w:r>
          <w:rPr>
            <w:color w:val="245B43"/>
            <w:u w:val="single"/>
          </w:rPr>
          <w:t>Plant care and seed propagation</w:t>
        </w:r>
      </w:hyperlink>
    </w:p>
    <w:p>
      <w:hyperlink r:id="rId33">
        <w:r>
          <w:rPr>
            <w:color w:val="245B43"/>
            <w:u w:val="single"/>
          </w:rPr>
          <w:t>Woodland environment</w:t>
        </w:r>
      </w:hyperlink>
    </w:p>
    <w:p>
      <w:hyperlink r:id="rId35">
        <w:r>
          <w:rPr>
            <w:color w:val="245B43"/>
            <w:u w:val="single"/>
          </w:rPr>
          <w:t>Ecological relationships</w:t>
        </w:r>
      </w:hyperlink>
    </w:p>
    <w:p>
      <w:r>
        <w:rPr>
          <w:b w:val="0"/>
          <w:i w:val="0"/>
        </w:rPr>
        <w:t xml:space="preserve">Added September 22, 2026 · </w:t>
      </w:r>
      <w:hyperlink r:id="rId3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White Snakeroot — Ecology</w:t>
      </w:r>
    </w:p>
    <w:p>
      <w:r>
        <w:rPr>
          <w:b/>
        </w:rPr>
        <w:t xml:space="preserve">Online Information Sheet: </w:t>
      </w:r>
      <w:hyperlink r:id="rId35">
        <w:r>
          <w:rPr>
            <w:color w:val="245B43"/>
            <w:u w:val="single"/>
          </w:rPr>
          <w:t>planteducationproject.com/white-snakeroot/ecology/</w:t>
        </w:r>
      </w:hyperlink>
    </w:p>
    <w:p>
      <w:r>
        <w:rPr>
          <w:b w:val="0"/>
          <w:i w:val="0"/>
        </w:rPr>
        <w:t>🌿 Ecology Information Sheet</w:t>
      </w:r>
    </w:p>
    <w:p>
      <w:r>
        <w:rPr>
          <w:b w:val="0"/>
          <w:i/>
        </w:rPr>
        <w:t>Ageratina altissima</w:t>
      </w:r>
      <w:r>
        <w:t xml:space="preserve">  |  White snakeroot</w:t>
      </w:r>
    </w:p>
    <w:p>
      <w:r>
        <w:rPr>
          <w:b w:val="0"/>
          <w:i w:val="0"/>
        </w:rPr>
        <w:t>White snakeroot links autumn flowers, wind-dispersed seed and woodland colonization. It can support insects while posing a serious ingestion hazard to mammals. Its value depends on the site, the surrounding plant community and access by grazing animals.</w:t>
      </w:r>
    </w:p>
    <w:p>
      <w:pPr>
        <w:jc w:val="center"/>
      </w:pPr>
      <w:r>
        <w:drawing>
          <wp:inline xmlns:a="http://schemas.openxmlformats.org/drawingml/2006/main" xmlns:pic="http://schemas.openxmlformats.org/drawingml/2006/picture">
            <wp:extent cx="5120640" cy="3840480"/>
            <wp:docPr id="6" name="Picture 6"/>
            <wp:cNvGraphicFramePr>
              <a:graphicFrameLocks noChangeAspect="1"/>
            </wp:cNvGraphicFramePr>
            <a:graphic>
              <a:graphicData uri="http://schemas.openxmlformats.org/drawingml/2006/picture">
                <pic:pic>
                  <pic:nvPicPr>
                    <pic:cNvPr id="0" name="f7890e35c2322562a90f9796.jpg"/>
                    <pic:cNvPicPr/>
                  </pic:nvPicPr>
                  <pic:blipFill>
                    <a:blip r:embed="rId41"/>
                    <a:stretch>
                      <a:fillRect/>
                    </a:stretch>
                  </pic:blipFill>
                  <pic:spPr>
                    <a:xfrm>
                      <a:off x="0" y="0"/>
                      <a:ext cx="5120640" cy="3840480"/>
                    </a:xfrm>
                    <a:prstGeom prst="rect"/>
                  </pic:spPr>
                </pic:pic>
              </a:graphicData>
            </a:graphic>
          </wp:inline>
        </w:drawing>
      </w:r>
    </w:p>
    <w:p>
      <w:pPr>
        <w:pStyle w:val="Caption"/>
      </w:pPr>
      <w:r>
        <w:rPr>
          <w:b w:val="0"/>
          <w:i w:val="0"/>
        </w:rPr>
        <w:t>A female snakeroot fruit fly, Procecidocharoides penelope, on white snakeroot at Rock Creek Park, Washington DC. Katja Schulz, CC BY 2.0.</w:t>
      </w:r>
      <w:r>
        <w:br/>
      </w:r>
      <w:r>
        <w:t xml:space="preserve">Photograph: Katja Schulz from Washington, D. C., USA · </w:t>
      </w:r>
      <w:hyperlink r:id="rId42">
        <w:r>
          <w:rPr>
            <w:color w:val="245B43"/>
            <w:u w:val="single"/>
          </w:rPr>
          <w:t>Original source</w:t>
        </w:r>
      </w:hyperlink>
      <w:r>
        <w:t xml:space="preserve"> · </w:t>
      </w:r>
      <w:hyperlink r:id="rId43">
        <w:r>
          <w:rPr>
            <w:color w:val="245B43"/>
            <w:u w:val="single"/>
          </w:rPr>
          <w:t>CC BY 2.0</w:t>
        </w:r>
      </w:hyperlink>
      <w:r>
        <w:t>. Resized proportionally.</w:t>
      </w:r>
    </w:p>
    <w:p>
      <w:pPr>
        <w:pStyle w:val="Heading2"/>
      </w:pPr>
      <w:r>
        <w:t>Ecological Role 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Relationship</w:t>
            </w:r>
          </w:p>
        </w:tc>
        <w:tc>
          <w:tcPr>
            <w:tcW w:type="dxa" w:w="5083"/>
            <w:vAlign w:val="center"/>
            <w:shd w:fill="E9EDF0"/>
          </w:tcPr>
          <w:p>
            <w:pPr>
              <w:spacing w:after="60"/>
            </w:pPr>
            <w:r>
              <w:rPr>
                <w:b/>
                <w:i w:val="0"/>
                <w:sz w:val="22"/>
              </w:rPr>
              <w:t>Meaning</w:t>
            </w:r>
          </w:p>
        </w:tc>
      </w:tr>
      <w:tr>
        <w:trPr>
          <w:cantSplit/>
        </w:trPr>
        <w:tc>
          <w:tcPr>
            <w:tcW w:type="dxa" w:w="5083"/>
            <w:vAlign w:val="center"/>
            <w:shd w:fill="FFFFFF"/>
          </w:tcPr>
          <w:p>
            <w:pPr>
              <w:spacing w:after="60"/>
            </w:pPr>
            <w:r>
              <w:rPr>
                <w:b/>
                <w:i w:val="0"/>
                <w:sz w:val="22"/>
              </w:rPr>
              <w:t>Flower visitors</w:t>
            </w:r>
          </w:p>
        </w:tc>
        <w:tc>
          <w:tcPr>
            <w:tcW w:type="dxa" w:w="5083"/>
            <w:vAlign w:val="center"/>
            <w:shd w:fill="FFFFFF"/>
          </w:tcPr>
          <w:p>
            <w:pPr>
              <w:spacing w:after="60"/>
            </w:pPr>
            <w:r>
              <w:rPr>
                <w:b w:val="0"/>
                <w:i w:val="0"/>
                <w:sz w:val="22"/>
              </w:rPr>
              <w:t>Bees, flies, wasps, butterflies and moths use the flowers; visits alone do not measure pollination success. [IL]</w:t>
            </w:r>
          </w:p>
        </w:tc>
      </w:tr>
      <w:tr>
        <w:trPr>
          <w:cantSplit/>
        </w:trPr>
        <w:tc>
          <w:tcPr>
            <w:tcW w:type="dxa" w:w="5083"/>
            <w:vAlign w:val="center"/>
            <w:shd w:fill="FFFFFF"/>
          </w:tcPr>
          <w:p>
            <w:pPr>
              <w:spacing w:after="60"/>
            </w:pPr>
            <w:r>
              <w:rPr>
                <w:b/>
                <w:i w:val="0"/>
                <w:sz w:val="22"/>
              </w:rPr>
              <w:t>Seasonal resource</w:t>
            </w:r>
          </w:p>
        </w:tc>
        <w:tc>
          <w:tcPr>
            <w:tcW w:type="dxa" w:w="5083"/>
            <w:vAlign w:val="center"/>
            <w:shd w:fill="FFFFFF"/>
          </w:tcPr>
          <w:p>
            <w:pPr>
              <w:spacing w:after="60"/>
            </w:pPr>
            <w:r>
              <w:rPr>
                <w:b w:val="0"/>
                <w:i w:val="0"/>
                <w:sz w:val="22"/>
              </w:rPr>
              <w:t>Late flowers add forage when some earlier species have finished blooming. [BBG]</w:t>
            </w:r>
          </w:p>
        </w:tc>
      </w:tr>
      <w:tr>
        <w:trPr>
          <w:cantSplit/>
        </w:trPr>
        <w:tc>
          <w:tcPr>
            <w:tcW w:type="dxa" w:w="5083"/>
            <w:vAlign w:val="center"/>
            <w:shd w:fill="FFFFFF"/>
          </w:tcPr>
          <w:p>
            <w:pPr>
              <w:spacing w:after="60"/>
            </w:pPr>
            <w:r>
              <w:rPr>
                <w:b/>
                <w:i w:val="0"/>
                <w:sz w:val="22"/>
              </w:rPr>
              <w:t>Leaf consumers</w:t>
            </w:r>
          </w:p>
        </w:tc>
        <w:tc>
          <w:tcPr>
            <w:tcW w:type="dxa" w:w="5083"/>
            <w:vAlign w:val="center"/>
            <w:shd w:fill="FFFFFF"/>
          </w:tcPr>
          <w:p>
            <w:pPr>
              <w:spacing w:after="60"/>
            </w:pPr>
            <w:r>
              <w:rPr>
                <w:b w:val="0"/>
                <w:i w:val="0"/>
                <w:sz w:val="22"/>
              </w:rPr>
              <w:t>Leaf miners and other insects can use tissues avoided by many mammals. [BBG]</w:t>
            </w:r>
          </w:p>
        </w:tc>
      </w:tr>
      <w:tr>
        <w:trPr>
          <w:cantSplit/>
        </w:trPr>
        <w:tc>
          <w:tcPr>
            <w:tcW w:type="dxa" w:w="5083"/>
            <w:vAlign w:val="center"/>
            <w:shd w:fill="FFFFFF"/>
          </w:tcPr>
          <w:p>
            <w:pPr>
              <w:spacing w:after="60"/>
            </w:pPr>
            <w:r>
              <w:rPr>
                <w:b/>
                <w:i w:val="0"/>
                <w:sz w:val="22"/>
              </w:rPr>
              <w:t>Dispersal</w:t>
            </w:r>
          </w:p>
        </w:tc>
        <w:tc>
          <w:tcPr>
            <w:tcW w:type="dxa" w:w="5083"/>
            <w:vAlign w:val="center"/>
            <w:shd w:fill="FFFFFF"/>
          </w:tcPr>
          <w:p>
            <w:pPr>
              <w:spacing w:after="60"/>
            </w:pPr>
            <w:r>
              <w:rPr>
                <w:b w:val="0"/>
                <w:i w:val="0"/>
                <w:sz w:val="22"/>
              </w:rPr>
              <w:t>Hair-tufted fruits move in wind; rhizomes expand a patch locally. [PM]</w:t>
            </w:r>
          </w:p>
        </w:tc>
      </w:tr>
      <w:tr>
        <w:trPr>
          <w:cantSplit/>
        </w:trPr>
        <w:tc>
          <w:tcPr>
            <w:tcW w:type="dxa" w:w="5083"/>
            <w:vAlign w:val="center"/>
            <w:shd w:fill="FFFFFF"/>
          </w:tcPr>
          <w:p>
            <w:pPr>
              <w:spacing w:after="60"/>
            </w:pPr>
            <w:r>
              <w:rPr>
                <w:b/>
                <w:i w:val="0"/>
                <w:sz w:val="22"/>
              </w:rPr>
              <w:t>Mammals</w:t>
            </w:r>
          </w:p>
        </w:tc>
        <w:tc>
          <w:tcPr>
            <w:tcW w:type="dxa" w:w="5083"/>
            <w:vAlign w:val="center"/>
            <w:shd w:fill="FFFFFF"/>
          </w:tcPr>
          <w:p>
            <w:pPr>
              <w:spacing w:after="60"/>
            </w:pPr>
            <w:r>
              <w:rPr>
                <w:b w:val="0"/>
                <w:i w:val="0"/>
                <w:sz w:val="22"/>
              </w:rPr>
              <w:t>Bitter toxic vegetation is often avoided, but ingestion can still occur. [IL, NC]</w:t>
            </w:r>
          </w:p>
        </w:tc>
      </w:tr>
      <w:tr>
        <w:trPr>
          <w:cantSplit/>
        </w:trPr>
        <w:tc>
          <w:tcPr>
            <w:tcW w:type="dxa" w:w="5083"/>
            <w:vAlign w:val="center"/>
            <w:shd w:fill="FFFFFF"/>
          </w:tcPr>
          <w:p>
            <w:pPr>
              <w:spacing w:after="60"/>
            </w:pPr>
            <w:r>
              <w:rPr>
                <w:b/>
                <w:i w:val="0"/>
                <w:sz w:val="22"/>
              </w:rPr>
              <w:t>Garden spread</w:t>
            </w:r>
          </w:p>
        </w:tc>
        <w:tc>
          <w:tcPr>
            <w:tcW w:type="dxa" w:w="5083"/>
            <w:vAlign w:val="center"/>
            <w:shd w:fill="FFFFFF"/>
          </w:tcPr>
          <w:p>
            <w:pPr>
              <w:spacing w:after="60"/>
            </w:pPr>
            <w:r>
              <w:rPr>
                <w:b w:val="0"/>
                <w:i w:val="0"/>
                <w:sz w:val="22"/>
              </w:rPr>
              <w:t>An abundant native colony can still crowd a small planting. [PM]</w:t>
            </w:r>
          </w:p>
        </w:tc>
      </w:tr>
    </w:tbl>
    <w:p>
      <w:pPr>
        <w:spacing w:after="20"/>
      </w:pPr>
    </w:p>
    <w:p>
      <w:pPr>
        <w:pStyle w:val="Heading2"/>
      </w:pPr>
      <w:r>
        <w:t>Flowers and the Food Web</w:t>
      </w:r>
    </w:p>
    <w:p>
      <w:r>
        <w:rPr>
          <w:b w:val="0"/>
          <w:i w:val="0"/>
        </w:rPr>
        <w:t>Clusters of many small florets provide numerous feeding positions. Watch which insects visit and how they move between flower heads. Avoid equating the number of visits with the amount of seed set: effective pollination also depends on pollen transfer, compatible plants and weather.</w:t>
      </w:r>
    </w:p>
    <w:p>
      <w:r>
        <w:rPr>
          <w:b w:val="0"/>
          <w:i w:val="0"/>
        </w:rPr>
        <w:t>Brooklyn Botanic Garden documents a leaf-mining fly using white snakeroot leaves. The larvae live within leaf tissue, leaving visible trails. Limited leaf damage can represent an ecological interaction rather than a plant-health emergency. [BBG]</w:t>
      </w:r>
    </w:p>
    <w:p>
      <w:r>
        <w:rPr>
          <w:b w:val="0"/>
          <w:i w:val="0"/>
        </w:rPr>
        <w:t>The fruit-fly photograph records an insect on this plant; it does not by itself establish an entire host life cycle or prove pollination. Specific host claims require species-level evidence.</w:t>
      </w:r>
    </w:p>
    <w:p>
      <w:pPr>
        <w:pStyle w:val="Heading2"/>
      </w:pPr>
      <w:r>
        <w:t>Seed Rhizomes and Recruitment</w:t>
      </w:r>
    </w:p>
    <w:p>
      <w:r>
        <w:rPr>
          <w:b w:val="0"/>
          <w:i w:val="0"/>
        </w:rPr>
        <w:t>Wind can move seeds beyond the parent colony. Rhizomes, which are stems rather than roots, produce shoots near an established crown. That distinction matters in management: removing seed heads reduces seed dispersal but does not stop existing rhizomes from expanding. [PM]</w:t>
      </w:r>
    </w:p>
    <w:p>
      <w:r>
        <w:rPr>
          <w:b w:val="0"/>
          <w:i w:val="0"/>
        </w:rPr>
        <w:t>Small seeds need a suitable landing place, moisture and seasonal cues. The practical protocol is moist winter chilling followed by uncovered surface sowing. A bare disturbed patch may favor recruitment, but the eventual result also depends on competing plants and weather. [Seed]</w:t>
      </w:r>
    </w:p>
    <w:p>
      <w:pPr>
        <w:jc w:val="center"/>
      </w:pPr>
      <w:r>
        <w:drawing>
          <wp:inline xmlns:a="http://schemas.openxmlformats.org/drawingml/2006/main" xmlns:pic="http://schemas.openxmlformats.org/drawingml/2006/picture">
            <wp:extent cx="5120640" cy="3840480"/>
            <wp:docPr id="7" name="Picture 7"/>
            <wp:cNvGraphicFramePr>
              <a:graphicFrameLocks noChangeAspect="1"/>
            </wp:cNvGraphicFramePr>
            <a:graphic>
              <a:graphicData uri="http://schemas.openxmlformats.org/drawingml/2006/picture">
                <pic:pic>
                  <pic:nvPicPr>
                    <pic:cNvPr id="0" name="373bbd27b3745086a9d47efe.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White snakeroot growing as a colony in the forest of Ann M. Banchoff Park, New Jersey. Famartin, CC BY-SA 4.0.</w:t>
      </w:r>
      <w:r>
        <w:br/>
      </w:r>
      <w:r>
        <w:t xml:space="preserve">Photograph: Famartin · </w:t>
      </w:r>
      <w:hyperlink r:id="rId21">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Native Status and Aggressive Spread</w:t>
      </w:r>
    </w:p>
    <w:p>
      <w:r>
        <w:rPr>
          <w:b w:val="0"/>
          <w:i w:val="0"/>
        </w:rPr>
        <w:t>Indiana nativity and Tippecanoe County herbarium records support a local-native designation. Kew also records introductions in parts of Europe and Korea. A plant’s status must be tied to geography; native in Indiana does not mean native everywhere. [Kew, IND]</w:t>
      </w:r>
    </w:p>
    <w:p>
      <w:r>
        <w:rPr>
          <w:b w:val="0"/>
          <w:i w:val="0"/>
        </w:rPr>
        <w:t>White snakeroot is not listed in the Indiana DNR terrestrial invasive plant rule list reviewed on 2026-09-21. It may nevertheless become too abundant for a small garden. Distinguish unwanted local growth from an introduced invasive species. [DNR, PM]</w:t>
      </w:r>
    </w:p>
    <w:p>
      <w:pPr>
        <w:pStyle w:val="Heading2"/>
      </w:pPr>
      <w:r>
        <w:t>Toxicity in an Ecological Setting</w:t>
      </w:r>
    </w:p>
    <w:p>
      <w:r>
        <w:rPr>
          <w:b w:val="0"/>
          <w:i w:val="0"/>
        </w:rPr>
        <w:t>Plant chemical defenses can discourage some consumers without excluding all insects. White snakeroot is highly poisonous if ingested, and toxins can pass through milk from exposed livestock to people. Native status and insect use do not make it edible. [NC]</w:t>
      </w:r>
    </w:p>
    <w:p>
      <w:r>
        <w:rPr>
          <w:b w:val="0"/>
          <w:i w:val="0"/>
        </w:rPr>
        <w:t>In pasture or animal-access areas, prevent grazing and remove the opportunity for exposure. In a managed woodland garden, assess whether children or pets chew plants. Keep pulled material and clippings out of feed and away from animals. Do not rely on a bitter taste as protection.</w:t>
      </w:r>
    </w:p>
    <w:p>
      <w:pPr>
        <w:pStyle w:val="Heading2"/>
      </w:pPr>
      <w:r>
        <w:t>Managing a Diverse Woodland Planting</w:t>
      </w:r>
    </w:p>
    <w:p>
      <w:r>
        <w:rPr>
          <w:b w:val="0"/>
          <w:i w:val="0"/>
        </w:rPr>
        <w:t>Maintain several native species with different flowering periods. Keep enough white snakeroot for the space and the management goal; thin excess seedlings and rooted shoots before they overwhelm neighbors. Avoid unnecessary spraying on flowers or lightly damaged leaves.</w:t>
      </w:r>
    </w:p>
    <w:p>
      <w:r>
        <w:rPr>
          <w:b w:val="0"/>
          <w:i w:val="0"/>
        </w:rPr>
        <w:t>After invasive-shrub removal, monitor the whole recovering plant community. A flush of white snakeroot is not proof that restoration has succeeded or failed. Track native richness, bare soil, reinvasion and the persistence of other woodland herbs.</w:t>
      </w:r>
    </w:p>
    <w:p>
      <w:pPr>
        <w:pStyle w:val="Heading2"/>
      </w:pPr>
      <w:r>
        <w:t>A Simple Observation Record</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Record</w:t>
            </w:r>
          </w:p>
        </w:tc>
        <w:tc>
          <w:tcPr>
            <w:tcW w:type="dxa" w:w="5083"/>
            <w:vAlign w:val="center"/>
            <w:shd w:fill="E9EDF0"/>
          </w:tcPr>
          <w:p>
            <w:pPr>
              <w:spacing w:after="60"/>
            </w:pPr>
            <w:r>
              <w:rPr>
                <w:b/>
                <w:i w:val="0"/>
                <w:sz w:val="22"/>
              </w:rPr>
              <w:t>Reason</w:t>
            </w:r>
          </w:p>
        </w:tc>
      </w:tr>
      <w:tr>
        <w:trPr>
          <w:cantSplit/>
        </w:trPr>
        <w:tc>
          <w:tcPr>
            <w:tcW w:type="dxa" w:w="5083"/>
            <w:vAlign w:val="center"/>
            <w:shd w:fill="FFFFFF"/>
          </w:tcPr>
          <w:p>
            <w:pPr>
              <w:spacing w:after="60"/>
            </w:pPr>
            <w:r>
              <w:rPr>
                <w:b/>
                <w:i w:val="0"/>
                <w:sz w:val="22"/>
              </w:rPr>
              <w:t>First flower and last flower</w:t>
            </w:r>
          </w:p>
        </w:tc>
        <w:tc>
          <w:tcPr>
            <w:tcW w:type="dxa" w:w="5083"/>
            <w:vAlign w:val="center"/>
            <w:shd w:fill="FFFFFF"/>
          </w:tcPr>
          <w:p>
            <w:pPr>
              <w:spacing w:after="60"/>
            </w:pPr>
            <w:r>
              <w:rPr>
                <w:b w:val="0"/>
                <w:i w:val="0"/>
                <w:sz w:val="22"/>
              </w:rPr>
              <w:t>Tracks seasonal food availability and year-to-year change.</w:t>
            </w:r>
          </w:p>
        </w:tc>
      </w:tr>
      <w:tr>
        <w:trPr>
          <w:cantSplit/>
        </w:trPr>
        <w:tc>
          <w:tcPr>
            <w:tcW w:type="dxa" w:w="5083"/>
            <w:vAlign w:val="center"/>
            <w:shd w:fill="FFFFFF"/>
          </w:tcPr>
          <w:p>
            <w:pPr>
              <w:spacing w:after="60"/>
            </w:pPr>
            <w:r>
              <w:rPr>
                <w:b/>
                <w:i w:val="0"/>
                <w:sz w:val="22"/>
              </w:rPr>
              <w:t>Visitors during a timed watch</w:t>
            </w:r>
          </w:p>
        </w:tc>
        <w:tc>
          <w:tcPr>
            <w:tcW w:type="dxa" w:w="5083"/>
            <w:vAlign w:val="center"/>
            <w:shd w:fill="FFFFFF"/>
          </w:tcPr>
          <w:p>
            <w:pPr>
              <w:spacing w:after="60"/>
            </w:pPr>
            <w:r>
              <w:rPr>
                <w:b w:val="0"/>
                <w:i w:val="0"/>
                <w:sz w:val="22"/>
              </w:rPr>
              <w:t>Allows comparison among dates; record weather and observation length.</w:t>
            </w:r>
          </w:p>
        </w:tc>
      </w:tr>
      <w:tr>
        <w:trPr>
          <w:cantSplit/>
        </w:trPr>
        <w:tc>
          <w:tcPr>
            <w:tcW w:type="dxa" w:w="5083"/>
            <w:vAlign w:val="center"/>
            <w:shd w:fill="FFFFFF"/>
          </w:tcPr>
          <w:p>
            <w:pPr>
              <w:spacing w:after="60"/>
            </w:pPr>
            <w:r>
              <w:rPr>
                <w:b/>
                <w:i w:val="0"/>
                <w:sz w:val="22"/>
              </w:rPr>
              <w:t>Colony outline and seedlings</w:t>
            </w:r>
          </w:p>
        </w:tc>
        <w:tc>
          <w:tcPr>
            <w:tcW w:type="dxa" w:w="5083"/>
            <w:vAlign w:val="center"/>
            <w:shd w:fill="FFFFFF"/>
          </w:tcPr>
          <w:p>
            <w:pPr>
              <w:spacing w:after="60"/>
            </w:pPr>
            <w:r>
              <w:rPr>
                <w:b w:val="0"/>
                <w:i w:val="0"/>
                <w:sz w:val="22"/>
              </w:rPr>
              <w:t>Separates established spread from new recruitment.</w:t>
            </w:r>
          </w:p>
        </w:tc>
      </w:tr>
      <w:tr>
        <w:trPr>
          <w:cantSplit/>
        </w:trPr>
        <w:tc>
          <w:tcPr>
            <w:tcW w:type="dxa" w:w="5083"/>
            <w:vAlign w:val="center"/>
            <w:shd w:fill="FFFFFF"/>
          </w:tcPr>
          <w:p>
            <w:pPr>
              <w:spacing w:after="60"/>
            </w:pPr>
            <w:r>
              <w:rPr>
                <w:b/>
                <w:i w:val="0"/>
                <w:sz w:val="22"/>
              </w:rPr>
              <w:t>Leaf damage and nearby species</w:t>
            </w:r>
          </w:p>
        </w:tc>
        <w:tc>
          <w:tcPr>
            <w:tcW w:type="dxa" w:w="5083"/>
            <w:vAlign w:val="center"/>
            <w:shd w:fill="FFFFFF"/>
          </w:tcPr>
          <w:p>
            <w:pPr>
              <w:spacing w:after="60"/>
            </w:pPr>
            <w:r>
              <w:rPr>
                <w:b w:val="0"/>
                <w:i w:val="0"/>
                <w:sz w:val="22"/>
              </w:rPr>
              <w:t>Connects herbivory, plant vigor and community diversity.</w:t>
            </w:r>
          </w:p>
        </w:tc>
      </w:tr>
      <w:tr>
        <w:trPr>
          <w:cantSplit/>
        </w:trPr>
        <w:tc>
          <w:tcPr>
            <w:tcW w:type="dxa" w:w="5083"/>
            <w:vAlign w:val="center"/>
            <w:shd w:fill="FFFFFF"/>
          </w:tcPr>
          <w:p>
            <w:pPr>
              <w:spacing w:after="60"/>
            </w:pPr>
            <w:r>
              <w:rPr>
                <w:b/>
                <w:i w:val="0"/>
                <w:sz w:val="22"/>
              </w:rPr>
              <w:t>Animal access</w:t>
            </w:r>
          </w:p>
        </w:tc>
        <w:tc>
          <w:tcPr>
            <w:tcW w:type="dxa" w:w="5083"/>
            <w:vAlign w:val="center"/>
            <w:shd w:fill="FFFFFF"/>
          </w:tcPr>
          <w:p>
            <w:pPr>
              <w:spacing w:after="60"/>
            </w:pPr>
            <w:r>
              <w:rPr>
                <w:b w:val="0"/>
                <w:i w:val="0"/>
                <w:sz w:val="22"/>
              </w:rPr>
              <w:t>Keeps the ingestion risk visible in site management.</w:t>
            </w:r>
          </w:p>
        </w:tc>
      </w:tr>
    </w:tbl>
    <w:p>
      <w:pPr>
        <w:spacing w:after="20"/>
      </w:pPr>
    </w:p>
    <w:p>
      <w:pPr>
        <w:pStyle w:val="Heading2"/>
      </w:pPr>
      <w:r>
        <w:t>Key Terms</w:t>
      </w:r>
    </w:p>
    <w:p>
      <w:r>
        <w:rPr>
          <w:b w:val="0"/>
          <w:i w:val="0"/>
        </w:rPr>
        <w:t>Phenology is the timing of seasonal events. Recruitment is the arrival and establishment of new individuals. Herbivory is feeding on plant tissues. A pollinator transfers pollen; a flower visitor may or may not do so effectively.</w:t>
      </w:r>
    </w:p>
    <w:p>
      <w:hyperlink r:id="rId24">
        <w:r>
          <w:rPr>
            <w:color w:val="245B43"/>
            <w:u w:val="single"/>
          </w:rPr>
          <w:t>[IL] Illinois Wildflowers species account</w:t>
        </w:r>
      </w:hyperlink>
    </w:p>
    <w:p>
      <w:hyperlink r:id="rId44">
        <w:r>
          <w:rPr>
            <w:color w:val="245B43"/>
            <w:u w:val="single"/>
          </w:rPr>
          <w:t>[BBG] Brooklyn Botanic Garden ecology account</w:t>
        </w:r>
      </w:hyperlink>
    </w:p>
    <w:p>
      <w:hyperlink r:id="rId26">
        <w:r>
          <w:rPr>
            <w:color w:val="245B43"/>
            <w:u w:val="single"/>
          </w:rPr>
          <w:t>[PM] Species cultivation and spread account</w:t>
        </w:r>
      </w:hyperlink>
    </w:p>
    <w:p>
      <w:hyperlink r:id="rId25">
        <w:r>
          <w:rPr>
            <w:color w:val="245B43"/>
            <w:u w:val="single"/>
          </w:rPr>
          <w:t>[Seed] Wild Seed Project species and sowing protocol</w:t>
        </w:r>
      </w:hyperlink>
    </w:p>
    <w:p>
      <w:hyperlink r:id="rId22">
        <w:r>
          <w:rPr>
            <w:color w:val="245B43"/>
            <w:u w:val="single"/>
          </w:rPr>
          <w:t>[Kew] Kew Plants of the World Online</w:t>
        </w:r>
      </w:hyperlink>
    </w:p>
    <w:p>
      <w:hyperlink r:id="rId27">
        <w:r>
          <w:rPr>
            <w:color w:val="245B43"/>
            <w:u w:val="single"/>
          </w:rPr>
          <w:t>[IND] Indiana University specimen IND 0120581 via GBIF</w:t>
        </w:r>
      </w:hyperlink>
    </w:p>
    <w:p>
      <w:hyperlink r:id="rId29">
        <w:r>
          <w:rPr>
            <w:color w:val="245B43"/>
            <w:u w:val="single"/>
          </w:rPr>
          <w:t>[DNR] Indiana DNR terrestrial invasive plant list</w:t>
        </w:r>
      </w:hyperlink>
    </w:p>
    <w:p>
      <w:hyperlink r:id="rId23">
        <w:r>
          <w:rPr>
            <w:color w:val="245B43"/>
            <w:u w:val="single"/>
          </w:rPr>
          <w:t>[NC] NC State Extension species profile</w:t>
        </w:r>
      </w:hyperlink>
    </w:p>
    <w:p>
      <w:hyperlink r:id="rId42">
        <w:r>
          <w:rPr>
            <w:color w:val="245B43"/>
            <w:u w:val="single"/>
          </w:rPr>
          <w:t>Snakeroot fruit fly at Rock Creek Park</w:t>
        </w:r>
      </w:hyperlink>
      <w:r>
        <w:t xml:space="preserve"> — Katja Schulz from Washington, D. C., USA. </w:t>
      </w:r>
      <w:hyperlink r:id="rId43">
        <w:r>
          <w:rPr>
            <w:color w:val="245B43"/>
            <w:u w:val="single"/>
          </w:rPr>
          <w:t>CC BY 2.0</w:t>
        </w:r>
      </w:hyperlink>
    </w:p>
    <w:p>
      <w:hyperlink r:id="rId21">
        <w:r>
          <w:rPr>
            <w:color w:val="245B43"/>
            <w:u w:val="single"/>
          </w:rPr>
          <w:t>White snakeroot colony at Ann M Banchoff Park</w:t>
        </w:r>
      </w:hyperlink>
      <w:r>
        <w:t xml:space="preserve"> — Famartin. </w:t>
      </w:r>
      <w:hyperlink r:id="rId14">
        <w:r>
          <w:rPr>
            <w:color w:val="245B43"/>
            <w:u w:val="single"/>
          </w:rPr>
          <w:t>CC BY-SA 4.0</w:t>
        </w:r>
      </w:hyperlink>
    </w:p>
    <w:p>
      <w:pPr>
        <w:pStyle w:val="Heading2"/>
      </w:pPr>
      <w:r>
        <w:t>Related Information Sheets</w:t>
      </w:r>
    </w:p>
    <w:p>
      <w:hyperlink r:id="rId11">
        <w:r>
          <w:rPr>
            <w:color w:val="245B43"/>
            <w:u w:val="single"/>
          </w:rPr>
          <w:t>Plant care and seed propagation</w:t>
        </w:r>
      </w:hyperlink>
    </w:p>
    <w:p>
      <w:hyperlink r:id="rId33">
        <w:r>
          <w:rPr>
            <w:color w:val="245B43"/>
            <w:u w:val="single"/>
          </w:rPr>
          <w:t>Woodland environment</w:t>
        </w:r>
      </w:hyperlink>
    </w:p>
    <w:p>
      <w:hyperlink r:id="rId34">
        <w:r>
          <w:rPr>
            <w:color w:val="245B43"/>
            <w:u w:val="single"/>
          </w:rPr>
          <w:t>Native climate and Lafayette comparison</w:t>
        </w:r>
      </w:hyperlink>
    </w:p>
    <w:p>
      <w:r>
        <w:rPr>
          <w:b w:val="0"/>
          <w:i w:val="0"/>
        </w:rPr>
        <w:t xml:space="preserve">Added September 22, 2026 · </w:t>
      </w:r>
      <w:hyperlink r:id="rId3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White Snakeroot — Environment</w:t>
      </w:r>
    </w:p>
    <w:p>
      <w:r>
        <w:rPr>
          <w:b/>
        </w:rPr>
        <w:t xml:space="preserve">Online Information Sheet: </w:t>
      </w:r>
      <w:hyperlink r:id="rId33">
        <w:r>
          <w:rPr>
            <w:color w:val="245B43"/>
            <w:u w:val="single"/>
          </w:rPr>
          <w:t>planteducationproject.com/white-snakeroot/environment/</w:t>
        </w:r>
      </w:hyperlink>
    </w:p>
    <w:p>
      <w:r>
        <w:rPr>
          <w:b w:val="0"/>
          <w:i w:val="0"/>
        </w:rPr>
        <w:t>🌿 Environment Information Sheet</w:t>
      </w:r>
    </w:p>
    <w:p>
      <w:r>
        <w:rPr>
          <w:b w:val="0"/>
          <w:i/>
        </w:rPr>
        <w:t>Ageratina altissima</w:t>
      </w:r>
      <w:r>
        <w:t xml:space="preserve">  |  White snakeroot</w:t>
      </w:r>
    </w:p>
    <w:p>
      <w:r>
        <w:rPr>
          <w:b w:val="0"/>
          <w:i w:val="0"/>
        </w:rPr>
        <w:t>White snakeroot occupies the herb layer of temperate deciduous woods and their edges. Its useful garden lesson is to reproduce the balance of filtered light, available moisture and soil air found in those settings.</w:t>
      </w:r>
    </w:p>
    <w:p>
      <w:pPr>
        <w:jc w:val="center"/>
      </w:pPr>
      <w:r>
        <w:drawing>
          <wp:inline xmlns:a="http://schemas.openxmlformats.org/drawingml/2006/main" xmlns:pic="http://schemas.openxmlformats.org/drawingml/2006/picture">
            <wp:extent cx="5120640" cy="3413760"/>
            <wp:docPr id="8" name="Picture 8"/>
            <wp:cNvGraphicFramePr>
              <a:graphicFrameLocks noChangeAspect="1"/>
            </wp:cNvGraphicFramePr>
            <a:graphic>
              <a:graphicData uri="http://schemas.openxmlformats.org/drawingml/2006/picture">
                <pic:pic>
                  <pic:nvPicPr>
                    <pic:cNvPr id="0" name="6dd72f1e04f2fd43a095b319.jpg"/>
                    <pic:cNvPicPr/>
                  </pic:nvPicPr>
                  <pic:blipFill>
                    <a:blip r:embed="rId18"/>
                    <a:stretch>
                      <a:fillRect/>
                    </a:stretch>
                  </pic:blipFill>
                  <pic:spPr>
                    <a:xfrm>
                      <a:off x="0" y="0"/>
                      <a:ext cx="5120640" cy="3413760"/>
                    </a:xfrm>
                    <a:prstGeom prst="rect"/>
                  </pic:spPr>
                </pic:pic>
              </a:graphicData>
            </a:graphic>
          </wp:inline>
        </w:drawing>
      </w:r>
    </w:p>
    <w:p>
      <w:pPr>
        <w:pStyle w:val="Caption"/>
      </w:pPr>
      <w:r>
        <w:rPr>
          <w:b w:val="0"/>
          <w:i w:val="0"/>
        </w:rPr>
        <w:t>Leafing deciduous forest at Turkey Run State Park, Indiana. This is a regional environment example, not a specimen record for the photographed ground.</w:t>
      </w:r>
      <w:r>
        <w:br/>
      </w:r>
      <w:r>
        <w:t xml:space="preserve">Photograph: Daniel Schwen · </w:t>
      </w:r>
      <w:hyperlink r:id="rId19">
        <w:r>
          <w:rPr>
            <w:color w:val="245B43"/>
            <w:u w:val="single"/>
          </w:rPr>
          <w:t>Original source</w:t>
        </w:r>
      </w:hyperlink>
      <w:r>
        <w:t xml:space="preserve"> · </w:t>
      </w:r>
      <w:hyperlink r:id="rId14">
        <w:r>
          <w:rPr>
            <w:color w:val="245B43"/>
            <w:u w:val="single"/>
          </w:rPr>
          <w:t>CC BY-SA 4.0</w:t>
        </w:r>
      </w:hyperlink>
      <w:r>
        <w:t>. Resized proportionally.</w:t>
      </w:r>
    </w:p>
    <w:p>
      <w:pPr>
        <w:pStyle w:val="Heading2"/>
      </w:pPr>
      <w:r>
        <w:t>Environment 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Feature</w:t>
            </w:r>
          </w:p>
        </w:tc>
        <w:tc>
          <w:tcPr>
            <w:tcW w:type="dxa" w:w="5083"/>
            <w:vAlign w:val="center"/>
            <w:shd w:fill="E9EDF0"/>
          </w:tcPr>
          <w:p>
            <w:pPr>
              <w:spacing w:after="60"/>
            </w:pPr>
            <w:r>
              <w:rPr>
                <w:b/>
                <w:i w:val="0"/>
                <w:sz w:val="22"/>
              </w:rPr>
              <w:t>Typical condition</w:t>
            </w:r>
          </w:p>
        </w:tc>
      </w:tr>
      <w:tr>
        <w:trPr>
          <w:cantSplit/>
        </w:trPr>
        <w:tc>
          <w:tcPr>
            <w:tcW w:type="dxa" w:w="5083"/>
            <w:vAlign w:val="center"/>
            <w:shd w:fill="FFFFFF"/>
          </w:tcPr>
          <w:p>
            <w:pPr>
              <w:spacing w:after="60"/>
            </w:pPr>
            <w:r>
              <w:rPr>
                <w:b/>
                <w:i w:val="0"/>
                <w:sz w:val="22"/>
              </w:rPr>
              <w:t>Environment</w:t>
            </w:r>
          </w:p>
        </w:tc>
        <w:tc>
          <w:tcPr>
            <w:tcW w:type="dxa" w:w="5083"/>
            <w:vAlign w:val="center"/>
            <w:shd w:fill="FFFFFF"/>
          </w:tcPr>
          <w:p>
            <w:pPr>
              <w:spacing w:after="60"/>
            </w:pPr>
            <w:r>
              <w:rPr>
                <w:b w:val="0"/>
                <w:i w:val="0"/>
                <w:sz w:val="22"/>
              </w:rPr>
              <w:t>Terrestrial woodland understory, edge or thicket. [IL]</w:t>
            </w:r>
          </w:p>
        </w:tc>
      </w:tr>
      <w:tr>
        <w:trPr>
          <w:cantSplit/>
        </w:trPr>
        <w:tc>
          <w:tcPr>
            <w:tcW w:type="dxa" w:w="5083"/>
            <w:vAlign w:val="center"/>
            <w:shd w:fill="FFFFFF"/>
          </w:tcPr>
          <w:p>
            <w:pPr>
              <w:spacing w:after="60"/>
            </w:pPr>
            <w:r>
              <w:rPr>
                <w:b/>
                <w:i w:val="0"/>
                <w:sz w:val="22"/>
              </w:rPr>
              <w:t>Geographic context</w:t>
            </w:r>
          </w:p>
        </w:tc>
        <w:tc>
          <w:tcPr>
            <w:tcW w:type="dxa" w:w="5083"/>
            <w:vAlign w:val="center"/>
            <w:shd w:fill="FFFFFF"/>
          </w:tcPr>
          <w:p>
            <w:pPr>
              <w:spacing w:after="60"/>
            </w:pPr>
            <w:r>
              <w:rPr>
                <w:b w:val="0"/>
                <w:i w:val="0"/>
                <w:sz w:val="22"/>
              </w:rPr>
              <w:t>Eastern and central North America; Indiana lies within the species native range. [Kew]</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Moist to somewhat dry, depending on shade and soil; avoid prolonged root saturation. [IL]</w:t>
            </w:r>
          </w:p>
        </w:tc>
      </w:tr>
      <w:tr>
        <w:trPr>
          <w:cantSplit/>
        </w:trPr>
        <w:tc>
          <w:tcPr>
            <w:tcW w:type="dxa" w:w="5083"/>
            <w:vAlign w:val="center"/>
            <w:shd w:fill="FFFFFF"/>
          </w:tcPr>
          <w:p>
            <w:pPr>
              <w:spacing w:after="60"/>
            </w:pPr>
            <w:r>
              <w:rPr>
                <w:b/>
                <w:i w:val="0"/>
                <w:sz w:val="22"/>
              </w:rPr>
              <w:t>Soils</w:t>
            </w:r>
          </w:p>
        </w:tc>
        <w:tc>
          <w:tcPr>
            <w:tcW w:type="dxa" w:w="5083"/>
            <w:vAlign w:val="center"/>
            <w:shd w:fill="FFFFFF"/>
          </w:tcPr>
          <w:p>
            <w:pPr>
              <w:spacing w:after="60"/>
            </w:pPr>
            <w:r>
              <w:rPr>
                <w:b w:val="0"/>
                <w:i w:val="0"/>
                <w:sz w:val="22"/>
              </w:rPr>
              <w:t>Loam or clay loam with functioning drainage and a surface organic layer. [IL]</w:t>
            </w:r>
          </w:p>
        </w:tc>
      </w:tr>
      <w:tr>
        <w:trPr>
          <w:cantSplit/>
        </w:trPr>
        <w:tc>
          <w:tcPr>
            <w:tcW w:type="dxa" w:w="5083"/>
            <w:vAlign w:val="center"/>
            <w:shd w:fill="FFFFFF"/>
          </w:tcPr>
          <w:p>
            <w:pPr>
              <w:spacing w:after="60"/>
            </w:pPr>
            <w:r>
              <w:rPr>
                <w:b/>
                <w:i w:val="0"/>
                <w:sz w:val="22"/>
              </w:rPr>
              <w:t>Vegetation structure</w:t>
            </w:r>
          </w:p>
        </w:tc>
        <w:tc>
          <w:tcPr>
            <w:tcW w:type="dxa" w:w="5083"/>
            <w:vAlign w:val="center"/>
            <w:shd w:fill="FFFFFF"/>
          </w:tcPr>
          <w:p>
            <w:pPr>
              <w:spacing w:after="60"/>
            </w:pPr>
            <w:r>
              <w:rPr>
                <w:b w:val="0"/>
                <w:i w:val="0"/>
                <w:sz w:val="22"/>
              </w:rPr>
              <w:t>Tree canopy, variable shrub layer, seasonal herbs, litter and decomposers.</w:t>
            </w:r>
          </w:p>
        </w:tc>
      </w:tr>
      <w:tr>
        <w:trPr>
          <w:cantSplit/>
        </w:trPr>
        <w:tc>
          <w:tcPr>
            <w:tcW w:type="dxa" w:w="5083"/>
            <w:vAlign w:val="center"/>
            <w:shd w:fill="FFFFFF"/>
          </w:tcPr>
          <w:p>
            <w:pPr>
              <w:spacing w:after="60"/>
            </w:pPr>
            <w:r>
              <w:rPr>
                <w:b/>
                <w:i w:val="0"/>
                <w:sz w:val="22"/>
              </w:rPr>
              <w:t>Local evidence</w:t>
            </w:r>
          </w:p>
        </w:tc>
        <w:tc>
          <w:tcPr>
            <w:tcW w:type="dxa" w:w="5083"/>
            <w:vAlign w:val="center"/>
            <w:shd w:fill="FFFFFF"/>
          </w:tcPr>
          <w:p>
            <w:pPr>
              <w:spacing w:after="60"/>
            </w:pPr>
            <w:r>
              <w:rPr>
                <w:b w:val="0"/>
                <w:i w:val="0"/>
                <w:sz w:val="22"/>
              </w:rPr>
              <w:t>Historical and recent Tippecanoe County herbarium collections. [IND, IND2]</w:t>
            </w:r>
          </w:p>
        </w:tc>
      </w:tr>
    </w:tbl>
    <w:p>
      <w:pPr>
        <w:spacing w:after="20"/>
      </w:pPr>
    </w:p>
    <w:p>
      <w:pPr>
        <w:pStyle w:val="Heading2"/>
      </w:pPr>
      <w:r>
        <w:t>Physical Setting and Water</w:t>
      </w:r>
    </w:p>
    <w:p>
      <w:r>
        <w:rPr>
          <w:b w:val="0"/>
          <w:i w:val="0"/>
        </w:rPr>
        <w:t>Slope, soil depth and canopy position can matter as much as the regional rainfall total. Water runs off exposed slopes but can collect in depressions. Roots need both water and oxygen. A shaded bed that remains saturated after rain should not be treated as equivalent to a drained woodland slope.</w:t>
      </w:r>
    </w:p>
    <w:p>
      <w:r>
        <w:rPr>
          <w:b w:val="0"/>
          <w:i w:val="0"/>
        </w:rPr>
        <w:t>Rain reaches the ground through canopy gaps, dripping leaves and flow down stems. Tree roots compete for part of that water. Shade can therefore feel cool while the soil remains dry. Check below the litter before deciding whether to irrigate.</w:t>
      </w:r>
    </w:p>
    <w:p>
      <w:pPr>
        <w:pStyle w:val="Heading2"/>
      </w:pPr>
      <w:r>
        <w:t>Climate and Seasonal Light</w:t>
      </w:r>
    </w:p>
    <w:p>
      <w:r>
        <w:rPr>
          <w:b w:val="0"/>
          <w:i w:val="0"/>
        </w:rPr>
        <w:t>Lafayette has a cold winter and a warm growing season with precipitation throughout the year. Leafless trees admit more spring light; summer foliage creates shade. These seasonal changes explain why one light reading cannot fully describe a woodland planting site. See the Climate sheet for measured local normals.</w:t>
      </w:r>
    </w:p>
    <w:p>
      <w:pPr>
        <w:pStyle w:val="Heading2"/>
      </w:pPr>
      <w:r>
        <w:t>Soils and Nutrient Cycling</w:t>
      </w:r>
    </w:p>
    <w:p>
      <w:r>
        <w:rPr>
          <w:b w:val="0"/>
          <w:i w:val="0"/>
        </w:rPr>
        <w:t>Fallen leaves become habitat and organic matter. Fungi, microbes and small soil animals break down litter, releasing nutrients over time. Avoid treating ordinary woodland soil as an empty medium that needs frequent fertilizer. Preserve structure and reduce compaction from feet and equipment.</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Site condition</w:t>
            </w:r>
          </w:p>
        </w:tc>
        <w:tc>
          <w:tcPr>
            <w:tcW w:type="dxa" w:w="5083"/>
            <w:vAlign w:val="center"/>
            <w:shd w:fill="E9EDF0"/>
          </w:tcPr>
          <w:p>
            <w:pPr>
              <w:spacing w:after="60"/>
            </w:pPr>
            <w:r>
              <w:rPr>
                <w:b/>
                <w:i w:val="0"/>
                <w:sz w:val="22"/>
              </w:rPr>
              <w:t>Practical implication</w:t>
            </w:r>
          </w:p>
        </w:tc>
      </w:tr>
      <w:tr>
        <w:trPr>
          <w:cantSplit/>
        </w:trPr>
        <w:tc>
          <w:tcPr>
            <w:tcW w:type="dxa" w:w="5083"/>
            <w:vAlign w:val="center"/>
            <w:shd w:fill="FFFFFF"/>
          </w:tcPr>
          <w:p>
            <w:pPr>
              <w:spacing w:after="60"/>
            </w:pPr>
            <w:r>
              <w:rPr>
                <w:b/>
                <w:i w:val="0"/>
                <w:sz w:val="22"/>
              </w:rPr>
              <w:t>Intact crumb structure</w:t>
            </w:r>
          </w:p>
        </w:tc>
        <w:tc>
          <w:tcPr>
            <w:tcW w:type="dxa" w:w="5083"/>
            <w:vAlign w:val="center"/>
            <w:shd w:fill="FFFFFF"/>
          </w:tcPr>
          <w:p>
            <w:pPr>
              <w:spacing w:after="60"/>
            </w:pPr>
            <w:r>
              <w:rPr>
                <w:b w:val="0"/>
                <w:i w:val="0"/>
                <w:sz w:val="22"/>
              </w:rPr>
              <w:t>Water can enter while pores retain air; avoid working wet soil.</w:t>
            </w:r>
          </w:p>
        </w:tc>
      </w:tr>
      <w:tr>
        <w:trPr>
          <w:cantSplit/>
        </w:trPr>
        <w:tc>
          <w:tcPr>
            <w:tcW w:type="dxa" w:w="5083"/>
            <w:vAlign w:val="center"/>
            <w:shd w:fill="FFFFFF"/>
          </w:tcPr>
          <w:p>
            <w:pPr>
              <w:spacing w:after="60"/>
            </w:pPr>
            <w:r>
              <w:rPr>
                <w:b/>
                <w:i w:val="0"/>
                <w:sz w:val="22"/>
              </w:rPr>
              <w:t>Thin organic surface</w:t>
            </w:r>
          </w:p>
        </w:tc>
        <w:tc>
          <w:tcPr>
            <w:tcW w:type="dxa" w:w="5083"/>
            <w:vAlign w:val="center"/>
            <w:shd w:fill="FFFFFF"/>
          </w:tcPr>
          <w:p>
            <w:pPr>
              <w:spacing w:after="60"/>
            </w:pPr>
            <w:r>
              <w:rPr>
                <w:b w:val="0"/>
                <w:i w:val="0"/>
                <w:sz w:val="22"/>
              </w:rPr>
              <w:t>Moderates the seedling environment; keep dense mulch off intentional surface sowings.</w:t>
            </w:r>
          </w:p>
        </w:tc>
      </w:tr>
      <w:tr>
        <w:trPr>
          <w:cantSplit/>
        </w:trPr>
        <w:tc>
          <w:tcPr>
            <w:tcW w:type="dxa" w:w="5083"/>
            <w:vAlign w:val="center"/>
            <w:shd w:fill="FFFFFF"/>
          </w:tcPr>
          <w:p>
            <w:pPr>
              <w:spacing w:after="60"/>
            </w:pPr>
            <w:r>
              <w:rPr>
                <w:b/>
                <w:i w:val="0"/>
                <w:sz w:val="22"/>
              </w:rPr>
              <w:t>Compacted or buried crown</w:t>
            </w:r>
          </w:p>
        </w:tc>
        <w:tc>
          <w:tcPr>
            <w:tcW w:type="dxa" w:w="5083"/>
            <w:vAlign w:val="center"/>
            <w:shd w:fill="FFFFFF"/>
          </w:tcPr>
          <w:p>
            <w:pPr>
              <w:spacing w:after="60"/>
            </w:pPr>
            <w:r>
              <w:rPr>
                <w:b w:val="0"/>
                <w:i w:val="0"/>
                <w:sz w:val="22"/>
              </w:rPr>
              <w:t>Restore suitable planting depth and drainage rather than masking the problem with fertilizer.</w:t>
            </w:r>
          </w:p>
        </w:tc>
      </w:tr>
      <w:tr>
        <w:trPr>
          <w:cantSplit/>
        </w:trPr>
        <w:tc>
          <w:tcPr>
            <w:tcW w:type="dxa" w:w="5083"/>
            <w:vAlign w:val="center"/>
            <w:shd w:fill="FFFFFF"/>
          </w:tcPr>
          <w:p>
            <w:pPr>
              <w:spacing w:after="60"/>
            </w:pPr>
            <w:r>
              <w:rPr>
                <w:b/>
                <w:i w:val="0"/>
                <w:sz w:val="22"/>
              </w:rPr>
              <w:t>Container culture</w:t>
            </w:r>
          </w:p>
        </w:tc>
        <w:tc>
          <w:tcPr>
            <w:tcW w:type="dxa" w:w="5083"/>
            <w:vAlign w:val="center"/>
            <w:shd w:fill="FFFFFF"/>
          </w:tcPr>
          <w:p>
            <w:pPr>
              <w:spacing w:after="60"/>
            </w:pPr>
            <w:r>
              <w:rPr>
                <w:b w:val="0"/>
                <w:i w:val="0"/>
                <w:sz w:val="22"/>
              </w:rPr>
              <w:t>Use the complete Native Forest Plants Standard Mix in the Plant sheet. Potting media and woodland mineral soils are not interchangeable.</w:t>
            </w:r>
          </w:p>
        </w:tc>
      </w:tr>
    </w:tbl>
    <w:p>
      <w:pPr>
        <w:spacing w:after="20"/>
      </w:pPr>
    </w:p>
    <w:p>
      <w:pPr>
        <w:jc w:val="center"/>
      </w:pPr>
      <w:r>
        <w:drawing>
          <wp:inline xmlns:a="http://schemas.openxmlformats.org/drawingml/2006/main" xmlns:pic="http://schemas.openxmlformats.org/drawingml/2006/picture">
            <wp:extent cx="5120640" cy="3840480"/>
            <wp:docPr id="9" name="Picture 9"/>
            <wp:cNvGraphicFramePr>
              <a:graphicFrameLocks noChangeAspect="1"/>
            </wp:cNvGraphicFramePr>
            <a:graphic>
              <a:graphicData uri="http://schemas.openxmlformats.org/drawingml/2006/picture">
                <pic:pic>
                  <pic:nvPicPr>
                    <pic:cNvPr id="0" name="373bbd27b3745086a9d47efe.jpg"/>
                    <pic:cNvPicPr/>
                  </pic:nvPicPr>
                  <pic:blipFill>
                    <a:blip r:embed="rId20"/>
                    <a:stretch>
                      <a:fillRect/>
                    </a:stretch>
                  </pic:blipFill>
                  <pic:spPr>
                    <a:xfrm>
                      <a:off x="0" y="0"/>
                      <a:ext cx="5120640" cy="3840480"/>
                    </a:xfrm>
                    <a:prstGeom prst="rect"/>
                  </pic:spPr>
                </pic:pic>
              </a:graphicData>
            </a:graphic>
          </wp:inline>
        </w:drawing>
      </w:r>
    </w:p>
    <w:p>
      <w:pPr>
        <w:pStyle w:val="Caption"/>
      </w:pPr>
      <w:r>
        <w:rPr>
          <w:b w:val="0"/>
          <w:i w:val="0"/>
        </w:rPr>
        <w:t>White snakeroot colony at Ann M Banchoff Park — Famartin. CC BY-SA 4.0</w:t>
      </w:r>
      <w:r>
        <w:br/>
      </w:r>
      <w:r>
        <w:t xml:space="preserve">Photograph: Famartin · </w:t>
      </w:r>
      <w:hyperlink r:id="rId21">
        <w:r>
          <w:rPr>
            <w:color w:val="245B43"/>
            <w:u w:val="single"/>
          </w:rPr>
          <w:t>Original source</w:t>
        </w:r>
      </w:hyperlink>
      <w:r>
        <w:t xml:space="preserve"> · </w:t>
      </w:r>
      <w:hyperlink r:id="rId14">
        <w:r>
          <w:rPr>
            <w:color w:val="245B43"/>
            <w:u w:val="single"/>
          </w:rPr>
          <w:t>CC BY-SA 4.0</w:t>
        </w:r>
      </w:hyperlink>
      <w:r>
        <w:t>. Resized proportionally.</w:t>
      </w:r>
    </w:p>
    <w:p>
      <w:pPr>
        <w:jc w:val="center"/>
      </w:pPr>
      <w:r>
        <w:drawing>
          <wp:inline xmlns:a="http://schemas.openxmlformats.org/drawingml/2006/main" xmlns:pic="http://schemas.openxmlformats.org/drawingml/2006/picture">
            <wp:extent cx="5120640" cy="3840480"/>
            <wp:docPr id="10" name="Picture 10"/>
            <wp:cNvGraphicFramePr>
              <a:graphicFrameLocks noChangeAspect="1"/>
            </wp:cNvGraphicFramePr>
            <a:graphic>
              <a:graphicData uri="http://schemas.openxmlformats.org/drawingml/2006/picture">
                <pic:pic>
                  <pic:nvPicPr>
                    <pic:cNvPr id="0" name="54fcbca7fe40e578ae2a3fb8.jpg"/>
                    <pic:cNvPicPr/>
                  </pic:nvPicPr>
                  <pic:blipFill>
                    <a:blip r:embed="rId45"/>
                    <a:stretch>
                      <a:fillRect/>
                    </a:stretch>
                  </pic:blipFill>
                  <pic:spPr>
                    <a:xfrm>
                      <a:off x="0" y="0"/>
                      <a:ext cx="5120640" cy="3840480"/>
                    </a:xfrm>
                    <a:prstGeom prst="rect"/>
                  </pic:spPr>
                </pic:pic>
              </a:graphicData>
            </a:graphic>
          </wp:inline>
        </w:drawing>
      </w:r>
    </w:p>
    <w:p>
      <w:pPr>
        <w:pStyle w:val="Caption"/>
      </w:pPr>
      <w:r>
        <w:rPr>
          <w:b w:val="0"/>
          <w:i w:val="0"/>
        </w:rPr>
        <w:t>White snakeroot in Seldom Seen Greenway — Cbaile19. CC0</w:t>
      </w:r>
      <w:r>
        <w:br/>
      </w:r>
      <w:r>
        <w:t xml:space="preserve">Photograph: Cbaile19 · </w:t>
      </w:r>
      <w:hyperlink r:id="rId46">
        <w:r>
          <w:rPr>
            <w:color w:val="245B43"/>
            <w:u w:val="single"/>
          </w:rPr>
          <w:t>Original source</w:t>
        </w:r>
      </w:hyperlink>
      <w:r>
        <w:t xml:space="preserve"> · </w:t>
      </w:r>
      <w:hyperlink r:id="rId17">
        <w:r>
          <w:rPr>
            <w:color w:val="245B43"/>
            <w:u w:val="single"/>
          </w:rPr>
          <w:t>CC0</w:t>
        </w:r>
      </w:hyperlink>
      <w:r>
        <w:t>. Resized proportionally.</w:t>
      </w:r>
    </w:p>
    <w:p>
      <w:pPr>
        <w:pStyle w:val="Heading2"/>
      </w:pPr>
      <w:r>
        <w:t>Vegetation and Ecological Processes</w:t>
      </w:r>
    </w:p>
    <w:p>
      <w:r>
        <w:rPr>
          <w:b w:val="0"/>
          <w:i w:val="0"/>
        </w:rPr>
        <w:t>The forest supports layered competition. Trees intercept sunlight; shrubs and herbs share the remaining light, water and nutrients. White snakeroot can persist in shade and take advantage of openings. Seed arrival and rhizome expansion help it occupy disturbed patches. [PM]</w:t>
      </w:r>
    </w:p>
    <w:p>
      <w:r>
        <w:rPr>
          <w:b w:val="0"/>
          <w:i w:val="0"/>
        </w:rPr>
        <w:t>It may occur in both disturbed woods and higher-quality habitat. Its presence alone is not a reliable score of woodland condition. Assess the full native plant community, invasive cover, soil disturbance and regeneration. [IL]</w:t>
      </w:r>
    </w:p>
    <w:p>
      <w:pPr>
        <w:pStyle w:val="Heading2"/>
      </w:pPr>
      <w:r>
        <w:t>Disturbance and Management</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Change</w:t>
            </w:r>
          </w:p>
        </w:tc>
        <w:tc>
          <w:tcPr>
            <w:tcW w:type="dxa" w:w="3389"/>
            <w:vAlign w:val="center"/>
            <w:shd w:fill="E9EDF0"/>
          </w:tcPr>
          <w:p>
            <w:pPr>
              <w:spacing w:after="60"/>
            </w:pPr>
            <w:r>
              <w:rPr>
                <w:b/>
                <w:i w:val="0"/>
                <w:sz w:val="22"/>
              </w:rPr>
              <w:t>Likely concern</w:t>
            </w:r>
          </w:p>
        </w:tc>
        <w:tc>
          <w:tcPr>
            <w:tcW w:type="dxa" w:w="3389"/>
            <w:vAlign w:val="center"/>
            <w:shd w:fill="E9EDF0"/>
          </w:tcPr>
          <w:p>
            <w:pPr>
              <w:spacing w:after="60"/>
            </w:pPr>
            <w:r>
              <w:rPr>
                <w:b/>
                <w:i w:val="0"/>
                <w:sz w:val="22"/>
              </w:rPr>
              <w:t>Useful response</w:t>
            </w:r>
          </w:p>
        </w:tc>
      </w:tr>
      <w:tr>
        <w:trPr>
          <w:cantSplit/>
        </w:trPr>
        <w:tc>
          <w:tcPr>
            <w:tcW w:type="dxa" w:w="3389"/>
            <w:vAlign w:val="center"/>
            <w:shd w:fill="FFFFFF"/>
          </w:tcPr>
          <w:p>
            <w:pPr>
              <w:spacing w:after="60"/>
            </w:pPr>
            <w:r>
              <w:rPr>
                <w:b/>
                <w:i w:val="0"/>
                <w:sz w:val="22"/>
              </w:rPr>
              <w:t>Canopy opening</w:t>
            </w:r>
          </w:p>
        </w:tc>
        <w:tc>
          <w:tcPr>
            <w:tcW w:type="dxa" w:w="3389"/>
            <w:vAlign w:val="center"/>
            <w:shd w:fill="FFFFFF"/>
          </w:tcPr>
          <w:p>
            <w:pPr>
              <w:spacing w:after="60"/>
            </w:pPr>
            <w:r>
              <w:rPr>
                <w:b w:val="0"/>
                <w:i w:val="0"/>
                <w:sz w:val="22"/>
              </w:rPr>
              <w:t>Greater sun and drying; more open soil</w:t>
            </w:r>
          </w:p>
        </w:tc>
        <w:tc>
          <w:tcPr>
            <w:tcW w:type="dxa" w:w="3389"/>
            <w:vAlign w:val="center"/>
            <w:shd w:fill="FFFFFF"/>
          </w:tcPr>
          <w:p>
            <w:pPr>
              <w:spacing w:after="60"/>
            </w:pPr>
            <w:r>
              <w:rPr>
                <w:b w:val="0"/>
                <w:i w:val="0"/>
                <w:sz w:val="22"/>
              </w:rPr>
              <w:t>Watch leaf stress and seedling recruitment.</w:t>
            </w:r>
          </w:p>
        </w:tc>
      </w:tr>
      <w:tr>
        <w:trPr>
          <w:cantSplit/>
        </w:trPr>
        <w:tc>
          <w:tcPr>
            <w:tcW w:type="dxa" w:w="3389"/>
            <w:vAlign w:val="center"/>
            <w:shd w:fill="FFFFFF"/>
          </w:tcPr>
          <w:p>
            <w:pPr>
              <w:spacing w:after="60"/>
            </w:pPr>
            <w:r>
              <w:rPr>
                <w:b/>
                <w:i w:val="0"/>
                <w:sz w:val="22"/>
              </w:rPr>
              <w:t>Soil excavation</w:t>
            </w:r>
          </w:p>
        </w:tc>
        <w:tc>
          <w:tcPr>
            <w:tcW w:type="dxa" w:w="3389"/>
            <w:vAlign w:val="center"/>
            <w:shd w:fill="FFFFFF"/>
          </w:tcPr>
          <w:p>
            <w:pPr>
              <w:spacing w:after="60"/>
            </w:pPr>
            <w:r>
              <w:rPr>
                <w:b w:val="0"/>
                <w:i w:val="0"/>
                <w:sz w:val="22"/>
              </w:rPr>
              <w:t>Exposed seedbed and disrupted roots</w:t>
            </w:r>
          </w:p>
        </w:tc>
        <w:tc>
          <w:tcPr>
            <w:tcW w:type="dxa" w:w="3389"/>
            <w:vAlign w:val="center"/>
            <w:shd w:fill="FFFFFF"/>
          </w:tcPr>
          <w:p>
            <w:pPr>
              <w:spacing w:after="60"/>
            </w:pPr>
            <w:r>
              <w:rPr>
                <w:b w:val="0"/>
                <w:i w:val="0"/>
                <w:sz w:val="22"/>
              </w:rPr>
              <w:t>Limit disturbance and re-establish diverse ground cover.</w:t>
            </w:r>
          </w:p>
        </w:tc>
      </w:tr>
      <w:tr>
        <w:trPr>
          <w:cantSplit/>
        </w:trPr>
        <w:tc>
          <w:tcPr>
            <w:tcW w:type="dxa" w:w="3389"/>
            <w:vAlign w:val="center"/>
            <w:shd w:fill="FFFFFF"/>
          </w:tcPr>
          <w:p>
            <w:pPr>
              <w:spacing w:after="60"/>
            </w:pPr>
            <w:r>
              <w:rPr>
                <w:b/>
                <w:i w:val="0"/>
                <w:sz w:val="22"/>
              </w:rPr>
              <w:t>Heavy rain</w:t>
            </w:r>
          </w:p>
        </w:tc>
        <w:tc>
          <w:tcPr>
            <w:tcW w:type="dxa" w:w="3389"/>
            <w:vAlign w:val="center"/>
            <w:shd w:fill="FFFFFF"/>
          </w:tcPr>
          <w:p>
            <w:pPr>
              <w:spacing w:after="60"/>
            </w:pPr>
            <w:r>
              <w:rPr>
                <w:b w:val="0"/>
                <w:i w:val="0"/>
                <w:sz w:val="22"/>
              </w:rPr>
              <w:t>Pooling or erosion</w:t>
            </w:r>
          </w:p>
        </w:tc>
        <w:tc>
          <w:tcPr>
            <w:tcW w:type="dxa" w:w="3389"/>
            <w:vAlign w:val="center"/>
            <w:shd w:fill="FFFFFF"/>
          </w:tcPr>
          <w:p>
            <w:pPr>
              <w:spacing w:after="60"/>
            </w:pPr>
            <w:r>
              <w:rPr>
                <w:b w:val="0"/>
                <w:i w:val="0"/>
                <w:sz w:val="22"/>
              </w:rPr>
              <w:t>Protect soil cover and assess drainage paths.</w:t>
            </w:r>
          </w:p>
        </w:tc>
      </w:tr>
      <w:tr>
        <w:trPr>
          <w:cantSplit/>
        </w:trPr>
        <w:tc>
          <w:tcPr>
            <w:tcW w:type="dxa" w:w="3389"/>
            <w:vAlign w:val="center"/>
            <w:shd w:fill="FFFFFF"/>
          </w:tcPr>
          <w:p>
            <w:pPr>
              <w:spacing w:after="60"/>
            </w:pPr>
            <w:r>
              <w:rPr>
                <w:b/>
                <w:i w:val="0"/>
                <w:sz w:val="22"/>
              </w:rPr>
              <w:t>Drought</w:t>
            </w:r>
          </w:p>
        </w:tc>
        <w:tc>
          <w:tcPr>
            <w:tcW w:type="dxa" w:w="3389"/>
            <w:vAlign w:val="center"/>
            <w:shd w:fill="FFFFFF"/>
          </w:tcPr>
          <w:p>
            <w:pPr>
              <w:spacing w:after="60"/>
            </w:pPr>
            <w:r>
              <w:rPr>
                <w:b w:val="0"/>
                <w:i w:val="0"/>
                <w:sz w:val="22"/>
              </w:rPr>
              <w:t>Declining soil moisture</w:t>
            </w:r>
          </w:p>
        </w:tc>
        <w:tc>
          <w:tcPr>
            <w:tcW w:type="dxa" w:w="3389"/>
            <w:vAlign w:val="center"/>
            <w:shd w:fill="FFFFFF"/>
          </w:tcPr>
          <w:p>
            <w:pPr>
              <w:spacing w:after="60"/>
            </w:pPr>
            <w:r>
              <w:rPr>
                <w:b w:val="0"/>
                <w:i w:val="0"/>
                <w:sz w:val="22"/>
              </w:rPr>
              <w:t>Prioritize young plants; water after checking the root zone.</w:t>
            </w:r>
          </w:p>
        </w:tc>
      </w:tr>
      <w:tr>
        <w:trPr>
          <w:cantSplit/>
        </w:trPr>
        <w:tc>
          <w:tcPr>
            <w:tcW w:type="dxa" w:w="3389"/>
            <w:vAlign w:val="center"/>
            <w:shd w:fill="FFFFFF"/>
          </w:tcPr>
          <w:p>
            <w:pPr>
              <w:spacing w:after="60"/>
            </w:pPr>
            <w:r>
              <w:rPr>
                <w:b/>
                <w:i w:val="0"/>
                <w:sz w:val="22"/>
              </w:rPr>
              <w:t>Grazing access</w:t>
            </w:r>
          </w:p>
        </w:tc>
        <w:tc>
          <w:tcPr>
            <w:tcW w:type="dxa" w:w="3389"/>
            <w:vAlign w:val="center"/>
            <w:shd w:fill="FFFFFF"/>
          </w:tcPr>
          <w:p>
            <w:pPr>
              <w:spacing w:after="60"/>
            </w:pPr>
            <w:r>
              <w:rPr>
                <w:b w:val="0"/>
                <w:i w:val="0"/>
                <w:sz w:val="22"/>
              </w:rPr>
              <w:t>Poisoning risk</w:t>
            </w:r>
          </w:p>
        </w:tc>
        <w:tc>
          <w:tcPr>
            <w:tcW w:type="dxa" w:w="3389"/>
            <w:vAlign w:val="center"/>
            <w:shd w:fill="FFFFFF"/>
          </w:tcPr>
          <w:p>
            <w:pPr>
              <w:spacing w:after="60"/>
            </w:pPr>
            <w:r>
              <w:rPr>
                <w:b w:val="0"/>
                <w:i w:val="0"/>
                <w:sz w:val="22"/>
              </w:rPr>
              <w:t>Exclude livestock and keep plant debris out of feed. [NC]</w:t>
            </w:r>
          </w:p>
        </w:tc>
      </w:tr>
    </w:tbl>
    <w:p>
      <w:pPr>
        <w:spacing w:after="20"/>
      </w:pPr>
    </w:p>
    <w:p>
      <w:pPr>
        <w:pStyle w:val="Heading2"/>
      </w:pPr>
      <w:r>
        <w:t>Comparison with Lafayette</w:t>
      </w:r>
    </w:p>
    <w:p>
      <w:r>
        <w:rPr>
          <w:b w:val="0"/>
          <w:i w:val="0"/>
        </w:rPr>
        <w:t>This is a local habitat type, not an exotic environment to recreate indoors. The county record near Romney describes white snakeroot as frequent with white oak in woods. Modern specimens add support for its continuing local occurrence. These records establish presence; they do not prove every shaded yard is suitable. [IND, IND2]</w:t>
      </w:r>
    </w:p>
    <w:p>
      <w:pPr>
        <w:pStyle w:val="Heading2"/>
      </w:pPr>
      <w:r>
        <w:t>What to Observe</w:t>
      </w:r>
    </w:p>
    <w:p>
      <w:r>
        <w:rPr>
          <w:b w:val="0"/>
          <w:i w:val="0"/>
        </w:rPr>
        <w:t>Record canopy shade, soil wetness after rain, afternoon wilting, colony boundaries and neighboring plants. Photograph the same patch through the seasons. In restoration work, favor a mixture of locally appropriate woodland plants and control known invasive species independently of white snakeroot.</w:t>
      </w:r>
    </w:p>
    <w:p>
      <w:pPr>
        <w:pStyle w:val="Heading2"/>
      </w:pPr>
      <w:r>
        <w:t>Key Terms</w:t>
      </w:r>
    </w:p>
    <w:p>
      <w:r>
        <w:rPr>
          <w:b w:val="0"/>
          <w:i w:val="0"/>
        </w:rPr>
        <w:t>Habitat is the place and conditions used by a species. An ecosystem includes organisms and their physical surroundings together. Microclimate means the local temperature, light, wind and moisture conditions. A rhizome is a spreading underground stem.</w:t>
      </w:r>
    </w:p>
    <w:p>
      <w:hyperlink r:id="rId22">
        <w:r>
          <w:rPr>
            <w:color w:val="245B43"/>
            <w:u w:val="single"/>
          </w:rPr>
          <w:t>[Kew] Kew Plants of the World Online</w:t>
        </w:r>
      </w:hyperlink>
    </w:p>
    <w:p>
      <w:hyperlink r:id="rId24">
        <w:r>
          <w:rPr>
            <w:color w:val="245B43"/>
            <w:u w:val="single"/>
          </w:rPr>
          <w:t>[IL] Illinois Wildflowers species account</w:t>
        </w:r>
      </w:hyperlink>
    </w:p>
    <w:p>
      <w:hyperlink r:id="rId26">
        <w:r>
          <w:rPr>
            <w:color w:val="245B43"/>
            <w:u w:val="single"/>
          </w:rPr>
          <w:t>[PM] Species cultivation and spread account</w:t>
        </w:r>
      </w:hyperlink>
    </w:p>
    <w:p>
      <w:hyperlink r:id="rId27">
        <w:r>
          <w:rPr>
            <w:color w:val="245B43"/>
            <w:u w:val="single"/>
          </w:rPr>
          <w:t>[IND] Indiana University specimen IND 0120581 via GBIF</w:t>
        </w:r>
      </w:hyperlink>
    </w:p>
    <w:p>
      <w:hyperlink r:id="rId28">
        <w:r>
          <w:rPr>
            <w:color w:val="245B43"/>
            <w:u w:val="single"/>
          </w:rPr>
          <w:t>[IND2] Indiana University specimen IND 0162325 via GBIF</w:t>
        </w:r>
      </w:hyperlink>
    </w:p>
    <w:p>
      <w:hyperlink r:id="rId23">
        <w:r>
          <w:rPr>
            <w:color w:val="245B43"/>
            <w:u w:val="single"/>
          </w:rPr>
          <w:t>[NC] NC State Extension species profile</w:t>
        </w:r>
      </w:hyperlink>
    </w:p>
    <w:p>
      <w:hyperlink r:id="rId19">
        <w:r>
          <w:rPr>
            <w:color w:val="245B43"/>
            <w:u w:val="single"/>
          </w:rPr>
          <w:t>Deciduous woodland at Turkey Run State Park</w:t>
        </w:r>
      </w:hyperlink>
      <w:r>
        <w:t xml:space="preserve"> — Daniel Schwen. </w:t>
      </w:r>
      <w:hyperlink r:id="rId14">
        <w:r>
          <w:rPr>
            <w:color w:val="245B43"/>
            <w:u w:val="single"/>
          </w:rPr>
          <w:t>CC BY-SA 4.0</w:t>
        </w:r>
      </w:hyperlink>
    </w:p>
    <w:p>
      <w:hyperlink r:id="rId21">
        <w:r>
          <w:rPr>
            <w:color w:val="245B43"/>
            <w:u w:val="single"/>
          </w:rPr>
          <w:t>White snakeroot colony at Ann M Banchoff Park</w:t>
        </w:r>
      </w:hyperlink>
      <w:r>
        <w:t xml:space="preserve"> — Famartin. </w:t>
      </w:r>
      <w:hyperlink r:id="rId14">
        <w:r>
          <w:rPr>
            <w:color w:val="245B43"/>
            <w:u w:val="single"/>
          </w:rPr>
          <w:t>CC BY-SA 4.0</w:t>
        </w:r>
      </w:hyperlink>
    </w:p>
    <w:p>
      <w:hyperlink r:id="rId46">
        <w:r>
          <w:rPr>
            <w:color w:val="245B43"/>
            <w:u w:val="single"/>
          </w:rPr>
          <w:t>White snakeroot in Seldom Seen Greenway</w:t>
        </w:r>
      </w:hyperlink>
      <w:r>
        <w:t xml:space="preserve"> — Cbaile19. </w:t>
      </w:r>
      <w:hyperlink r:id="rId17">
        <w:r>
          <w:rPr>
            <w:color w:val="245B43"/>
            <w:u w:val="single"/>
          </w:rPr>
          <w:t>CC0</w:t>
        </w:r>
      </w:hyperlink>
    </w:p>
    <w:p>
      <w:pPr>
        <w:pStyle w:val="Heading2"/>
      </w:pPr>
      <w:r>
        <w:t>Related Information Sheets</w:t>
      </w:r>
    </w:p>
    <w:p>
      <w:hyperlink r:id="rId11">
        <w:r>
          <w:rPr>
            <w:color w:val="245B43"/>
            <w:u w:val="single"/>
          </w:rPr>
          <w:t>Plant care and seed propagation</w:t>
        </w:r>
      </w:hyperlink>
    </w:p>
    <w:p>
      <w:hyperlink r:id="rId34">
        <w:r>
          <w:rPr>
            <w:color w:val="245B43"/>
            <w:u w:val="single"/>
          </w:rPr>
          <w:t>Native climate and Lafayette comparison</w:t>
        </w:r>
      </w:hyperlink>
    </w:p>
    <w:p>
      <w:hyperlink r:id="rId35">
        <w:r>
          <w:rPr>
            <w:color w:val="245B43"/>
            <w:u w:val="single"/>
          </w:rPr>
          <w:t>Ecological relationships</w:t>
        </w:r>
      </w:hyperlink>
    </w:p>
    <w:p>
      <w:r>
        <w:rPr>
          <w:b w:val="0"/>
          <w:i w:val="0"/>
        </w:rPr>
        <w:t xml:space="preserve">Added September 22, 2026 · </w:t>
      </w:r>
      <w:hyperlink r:id="rId3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3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white-snakeroot/" TargetMode="External"/><Relationship Id="rId12" Type="http://schemas.openxmlformats.org/officeDocument/2006/relationships/image" Target="media/image1.jpg"/><Relationship Id="rId13" Type="http://schemas.openxmlformats.org/officeDocument/2006/relationships/hyperlink" Target="https://commons.wikimedia.org/wiki/File:Eupatorium_rugosum_2017-05-23_0654.jpg" TargetMode="External"/><Relationship Id="rId14" Type="http://schemas.openxmlformats.org/officeDocument/2006/relationships/hyperlink" Target="https://creativecommons.org/licenses/by-sa/4.0" TargetMode="External"/><Relationship Id="rId15" Type="http://schemas.openxmlformats.org/officeDocument/2006/relationships/image" Target="media/image2.jpg"/><Relationship Id="rId16" Type="http://schemas.openxmlformats.org/officeDocument/2006/relationships/hyperlink" Target="https://commons.wikimedia.org/wiki/File:Ageratina_altissima,_Bird_Park,_2024-09-12.jpg" TargetMode="External"/><Relationship Id="rId17" Type="http://schemas.openxmlformats.org/officeDocument/2006/relationships/hyperlink" Target="http://creativecommons.org/publicdomain/zero/1.0/deed.en" TargetMode="External"/><Relationship Id="rId18" Type="http://schemas.openxmlformats.org/officeDocument/2006/relationships/image" Target="media/image3.jpg"/><Relationship Id="rId19" Type="http://schemas.openxmlformats.org/officeDocument/2006/relationships/hyperlink" Target="https://commons.wikimedia.org/wiki/File:Turkey_Run_SP,_IN_2.jpg" TargetMode="External"/><Relationship Id="rId20" Type="http://schemas.openxmlformats.org/officeDocument/2006/relationships/image" Target="media/image4.jpg"/><Relationship Id="rId21" Type="http://schemas.openxmlformats.org/officeDocument/2006/relationships/hyperlink" Target="https://commons.wikimedia.org/wiki/File:2026-09-19_15_58_39_White_Snakeroot_blooming_in_the_forest_of_Ann_M._Banchoff_Park_in_the_Mountainview_section_of_Ewing_Township,_Mercer_County,_New_Jersey.jpg" TargetMode="External"/><Relationship Id="rId22" Type="http://schemas.openxmlformats.org/officeDocument/2006/relationships/hyperlink" Target="https://powo.science.kew.org/taxon/urn:lsid:ipni.org:names:6815-2" TargetMode="External"/><Relationship Id="rId23" Type="http://schemas.openxmlformats.org/officeDocument/2006/relationships/hyperlink" Target="https://plants.ces.ncsu.edu/plants/ageratina-altissima/" TargetMode="External"/><Relationship Id="rId24" Type="http://schemas.openxmlformats.org/officeDocument/2006/relationships/hyperlink" Target="https://www.illinoiswildflowers.info/woodland/plants/wh_snakeroot.htm" TargetMode="External"/><Relationship Id="rId25" Type="http://schemas.openxmlformats.org/officeDocument/2006/relationships/hyperlink" Target="https://shop.wildseedproject.net/products/white-snakeroot-ageratina-altissima-seeds" TargetMode="External"/><Relationship Id="rId26" Type="http://schemas.openxmlformats.org/officeDocument/2006/relationships/hyperlink" Target="https://www.prairiemoon.com/ageratina-altissima-white-snakeroot" TargetMode="External"/><Relationship Id="rId27" Type="http://schemas.openxmlformats.org/officeDocument/2006/relationships/hyperlink" Target="https://www.gbif.org/occurrence/5070690262" TargetMode="External"/><Relationship Id="rId28" Type="http://schemas.openxmlformats.org/officeDocument/2006/relationships/hyperlink" Target="https://www.gbif.org/occurrence/5070736683" TargetMode="External"/><Relationship Id="rId29" Type="http://schemas.openxmlformats.org/officeDocument/2006/relationships/hyperlink" Target="https://www.in.gov/dnr/rules-and-regulations/invasive-species/terrestrial-invasive-species-plants/" TargetMode="External"/><Relationship Id="rId30" Type="http://schemas.openxmlformats.org/officeDocument/2006/relationships/hyperlink" Target="https://www.poison.org/" TargetMode="External"/><Relationship Id="rId31" Type="http://schemas.openxmlformats.org/officeDocument/2006/relationships/hyperlink" Target="https://friendsofeloisebutler.org/pages/plants/whitesnakeroot.html" TargetMode="External"/><Relationship Id="rId32" Type="http://schemas.openxmlformats.org/officeDocument/2006/relationships/hyperlink" Target="https://planteducationproject.com/guides/plant-potting-mixes/" TargetMode="External"/><Relationship Id="rId33" Type="http://schemas.openxmlformats.org/officeDocument/2006/relationships/hyperlink" Target="https://planteducationproject.com/white-snakeroot/environment/" TargetMode="External"/><Relationship Id="rId34" Type="http://schemas.openxmlformats.org/officeDocument/2006/relationships/hyperlink" Target="https://planteducationproject.com/white-snakeroot/climate/" TargetMode="External"/><Relationship Id="rId35" Type="http://schemas.openxmlformats.org/officeDocument/2006/relationships/hyperlink" Target="https://planteducationproject.com/white-snakeroot/ecology/" TargetMode="External"/><Relationship Id="rId36" Type="http://schemas.openxmlformats.org/officeDocument/2006/relationships/hyperlink" Target="https://planteducationproject.com/information-sheets/master-index/" TargetMode="External"/><Relationship Id="rId37" Type="http://schemas.openxmlformats.org/officeDocument/2006/relationships/hyperlink" Target="https://creativecommons.org/licenses/by-nc/4.0/" TargetMode="External"/><Relationship Id="rId38" Type="http://schemas.openxmlformats.org/officeDocument/2006/relationships/hyperlink" Target="https://www.ncei.noaa.gov/data/normals-monthly/1991-2020/access/USW00014835.csv" TargetMode="External"/><Relationship Id="rId39" Type="http://schemas.openxmlformats.org/officeDocument/2006/relationships/hyperlink" Target="https://www.ncei.noaa.gov/products/land-based-station/us-climate-normals" TargetMode="External"/><Relationship Id="rId40" Type="http://schemas.openxmlformats.org/officeDocument/2006/relationships/hyperlink" Target="https://statesummaries.ncics.org/chapter/in/" TargetMode="External"/><Relationship Id="rId41" Type="http://schemas.openxmlformats.org/officeDocument/2006/relationships/image" Target="media/image5.jpg"/><Relationship Id="rId42" Type="http://schemas.openxmlformats.org/officeDocument/2006/relationships/hyperlink" Target="https://commons.wikimedia.org/wiki/File:Snake_Root_Fruit_Fly_(29084535624).jpg" TargetMode="External"/><Relationship Id="rId43" Type="http://schemas.openxmlformats.org/officeDocument/2006/relationships/hyperlink" Target="https://creativecommons.org/licenses/by/2.0" TargetMode="External"/><Relationship Id="rId44" Type="http://schemas.openxmlformats.org/officeDocument/2006/relationships/hyperlink" Target="https://www.bbg.org/article/weed_of_the_month_white_snakeroot" TargetMode="External"/><Relationship Id="rId45" Type="http://schemas.openxmlformats.org/officeDocument/2006/relationships/image" Target="media/image6.jpg"/><Relationship Id="rId46" Type="http://schemas.openxmlformats.org/officeDocument/2006/relationships/hyperlink" Target="https://commons.wikimedia.org/wiki/File:Ageratina_altissima,_2021-09-10,_Seldom_Seen,_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snakeroot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