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Thismia daemona</w:t>
      </w:r>
    </w:p>
    <w:p>
      <w:pPr>
        <w:spacing w:after="320"/>
      </w:pPr>
      <w:r>
        <w:t>Combined Information Sheets</w:t>
      </w:r>
    </w:p>
    <w:p>
      <w:pPr>
        <w:pStyle w:val="Heading1"/>
      </w:pPr>
      <w:r>
        <w:t>Thismia daemona</w:t>
      </w:r>
    </w:p>
    <w:p>
      <w:r>
        <w:rPr>
          <w:b/>
        </w:rPr>
        <w:t xml:space="preserve">Online Information Sheet: </w:t>
      </w:r>
      <w:hyperlink r:id="rId11">
        <w:r>
          <w:rPr>
            <w:color w:val="245B43"/>
            <w:u w:val="single"/>
          </w:rPr>
          <w:t>planteducationproject.com/thismia-daemona/</w:t>
        </w:r>
      </w:hyperlink>
    </w:p>
    <w:p>
      <w:r>
        <w:rPr>
          <w:b w:val="0"/>
          <w:i w:val="0"/>
        </w:rPr>
        <w:t>🌿 Plant Information Sheet</w:t>
      </w:r>
    </w:p>
    <w:p>
      <w:pPr>
        <w:pStyle w:val="Heading2"/>
      </w:pPr>
      <w:r>
        <w:t>DEVIL FLOWER  |  FAMILY THISMIACEAE</w:t>
      </w:r>
    </w:p>
    <w:p>
      <w:r>
        <w:rPr>
          <w:b w:val="0"/>
          <w:i/>
        </w:rPr>
        <w:t>A leafless flowering plant that lives by tapping an underground fungal network</w:t>
      </w: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The plant’s native range is outside Indiana.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 evidence of invasive behavior is established in this sheet; it is a rare habitat-dependent wild plant.</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wild seed reproduction is described, but home germination is not established.</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 food use established. Observe in place; do not collect the plant, litter, soil or fungal partners.</w:t>
            </w:r>
          </w:p>
        </w:tc>
      </w:tr>
    </w:tbl>
    <w:p>
      <w:pPr>
        <w:spacing w:after="20"/>
      </w:pPr>
    </w:p>
    <w:p>
      <w:r>
        <w:rPr>
          <w:b w:val="0"/>
          <w:i/>
        </w:rPr>
        <w:t>To understand the care of a plant, understand its native climate and environment.</w:t>
      </w:r>
    </w:p>
    <w:p>
      <w:pPr>
        <w:pStyle w:val="Heading2"/>
      </w:pPr>
      <w:r>
        <w:t>Identification</w:t>
      </w:r>
    </w:p>
    <w:p>
      <w:r>
        <w:rPr>
          <w:b w:val="0"/>
          <w:i w:val="0"/>
        </w:rPr>
        <w:t>Look for a nearly black, upright floral tube rising only a few centimetres above wet leaf litter. A dome-shaped mitre crowns the flower; three slender, club-tipped appendages project upward like horns. Reddish-orange fleshy outer tepals form bright patches near the base. The underground system bears coral-like roots.</w:t>
      </w:r>
    </w:p>
    <w:p>
      <w:pPr>
        <w:pStyle w:val="Heading2"/>
      </w:pPr>
      <w:r>
        <w:t>Flowering and reproduction</w:t>
      </w:r>
    </w:p>
    <w:p>
      <w:r>
        <w:rPr>
          <w:b w:val="0"/>
          <w:i w:val="0"/>
        </w:rPr>
        <w:t>Only the flowering and fruiting structures appear above the litter; most of the plant remains underground. The original description documents flowers collected in September 2025. Pollinators, seed dispersal, germination requirements, longevity, and reproductive rate remain poorly known. Do not infer ordinary seed-starting methods from green plants.</w:t>
      </w:r>
    </w:p>
    <w:p>
      <w:pPr>
        <w:pStyle w:val="Heading2"/>
      </w:pPr>
      <w:r>
        <w:t>Environment / native habitat</w:t>
      </w:r>
    </w:p>
    <w:p>
      <w:r>
        <w:rPr>
          <w:b w:val="0"/>
          <w:i w:val="0"/>
        </w:rPr>
        <w:t>Photos: Fig. 2, Sahut Chantanaorrapint; Fig. 3, Neeranuch Taosiri; Fig. 4, Tosak Seelanan. CC BY 4.0; crops do not alter the biological subject.</w:t>
      </w:r>
    </w:p>
    <w:p>
      <w:r>
        <w:rPr>
          <w:b/>
          <w:i w:val="0"/>
        </w:rPr>
        <w:t xml:space="preserve">Known range: </w:t>
      </w:r>
      <w:r>
        <w:t>Endemic to Thong Pha Phum National Park, Kanchanaburi Province, western Thailand.</w:t>
      </w:r>
    </w:p>
    <w:p>
      <w:r>
        <w:rPr>
          <w:b/>
          <w:i w:val="0"/>
        </w:rPr>
        <w:t xml:space="preserve">Elevation: </w:t>
      </w:r>
      <w:r>
        <w:t>950-970 m (about 3,117-3,182 ft).</w:t>
      </w:r>
    </w:p>
    <w:p>
      <w:r>
        <w:rPr>
          <w:b/>
          <w:i w:val="0"/>
        </w:rPr>
        <w:t xml:space="preserve">Plant community: </w:t>
      </w:r>
      <w:r>
        <w:t>Shaded lower montane evergreen forest with small bamboo.</w:t>
      </w:r>
    </w:p>
    <w:p>
      <w:r>
        <w:rPr>
          <w:b/>
          <w:i w:val="0"/>
        </w:rPr>
        <w:t xml:space="preserve">Substrate / microsite: </w:t>
      </w:r>
      <w:r>
        <w:t>Among intact leaf litter on the forest floor; the subterranean fungal community is essential.</w:t>
      </w:r>
    </w:p>
    <w:p>
      <w:r>
        <w:rPr>
          <w:b/>
          <w:i w:val="0"/>
        </w:rPr>
        <w:t xml:space="preserve">Climate signal: </w:t>
      </w:r>
      <w:r>
        <w:t>Seasonal montane forest - an unusually high and seasonally dry setting for Thismia, though the occupied microsite remains shaded and litter-covered.</w:t>
      </w:r>
    </w:p>
    <w:p>
      <w:pPr>
        <w:pStyle w:val="Heading2"/>
      </w:pPr>
      <w:r>
        <w:t>How it obtains food</w:t>
      </w:r>
    </w:p>
    <w:p>
      <w:r>
        <w:rPr>
          <w:b w:val="0"/>
          <w:i w:val="0"/>
        </w:rPr>
        <w:t>Thismia daemona is fully mycoheterotrophic. It has no chlorophyll and does not photosynthesize. Its roots connect with fungi, and carbon ultimately originating in surrounding green plants moves through that fungal network to the Thismia. Calling it simply a "fungus parasite" is convenient but incomplete: the plant depends on an intact plant-soil-fungus system.</w:t>
      </w:r>
    </w:p>
    <w:p>
      <w:pPr>
        <w:pStyle w:val="Heading2"/>
      </w:pPr>
      <w:r>
        <w:t>Care, feeding, and propagation</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Question</w:t>
            </w:r>
          </w:p>
        </w:tc>
        <w:tc>
          <w:tcPr>
            <w:tcW w:type="dxa" w:w="5083"/>
            <w:vAlign w:val="center"/>
            <w:shd w:fill="E9EDF0"/>
          </w:tcPr>
          <w:p>
            <w:pPr>
              <w:spacing w:after="60"/>
            </w:pPr>
            <w:r>
              <w:rPr>
                <w:b/>
                <w:i w:val="0"/>
                <w:sz w:val="22"/>
              </w:rPr>
              <w:t>Guidance</w:t>
            </w:r>
          </w:p>
        </w:tc>
      </w:tr>
      <w:tr>
        <w:trPr>
          <w:cantSplit/>
        </w:trPr>
        <w:tc>
          <w:tcPr>
            <w:tcW w:type="dxa" w:w="5083"/>
            <w:vAlign w:val="center"/>
            <w:shd w:fill="FFFFFF"/>
          </w:tcPr>
          <w:p>
            <w:pPr>
              <w:spacing w:after="60"/>
            </w:pPr>
            <w:r>
              <w:rPr>
                <w:b/>
                <w:i w:val="0"/>
                <w:sz w:val="22"/>
              </w:rPr>
              <w:t>Can it be grown at home?</w:t>
            </w:r>
          </w:p>
        </w:tc>
        <w:tc>
          <w:tcPr>
            <w:tcW w:type="dxa" w:w="5083"/>
            <w:vAlign w:val="center"/>
            <w:shd w:fill="FFFFFF"/>
          </w:tcPr>
          <w:p>
            <w:pPr>
              <w:spacing w:after="60"/>
            </w:pPr>
            <w:r>
              <w:rPr>
                <w:b w:val="0"/>
                <w:i w:val="0"/>
                <w:sz w:val="22"/>
              </w:rPr>
              <w:t>No reliable horticultural protocol is known. Removing it from the forest would likely kill the plant and damage a critically small population.</w:t>
            </w:r>
          </w:p>
        </w:tc>
      </w:tr>
      <w:tr>
        <w:trPr>
          <w:cantSplit/>
        </w:trPr>
        <w:tc>
          <w:tcPr>
            <w:tcW w:type="dxa" w:w="5083"/>
            <w:vAlign w:val="center"/>
            <w:shd w:fill="FFFFFF"/>
          </w:tcPr>
          <w:p>
            <w:pPr>
              <w:spacing w:after="60"/>
            </w:pPr>
            <w:r>
              <w:rPr>
                <w:b/>
                <w:i w:val="0"/>
                <w:sz w:val="22"/>
              </w:rPr>
              <w:t>Soil mix</w:t>
            </w:r>
          </w:p>
        </w:tc>
        <w:tc>
          <w:tcPr>
            <w:tcW w:type="dxa" w:w="5083"/>
            <w:vAlign w:val="center"/>
            <w:shd w:fill="FFFFFF"/>
          </w:tcPr>
          <w:p>
            <w:pPr>
              <w:spacing w:after="60"/>
            </w:pPr>
            <w:r>
              <w:rPr>
                <w:b w:val="0"/>
                <w:i w:val="0"/>
                <w:sz w:val="22"/>
              </w:rPr>
              <w:t>None. A standard potting mix cannot reproduce its specific living fungal network and forest microsite.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Naturally deeply shaded, but shade alone is not sufficient.</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Do not translate habitat moisture into a watering schedule; the plant is not established in cultivation.</w:t>
            </w:r>
          </w:p>
        </w:tc>
      </w:tr>
      <w:tr>
        <w:trPr>
          <w:cantSplit/>
        </w:trPr>
        <w:tc>
          <w:tcPr>
            <w:tcW w:type="dxa" w:w="5083"/>
            <w:vAlign w:val="center"/>
            <w:shd w:fill="FFFFFF"/>
          </w:tcPr>
          <w:p>
            <w:pPr>
              <w:spacing w:after="60"/>
            </w:pPr>
            <w:r>
              <w:rPr>
                <w:b/>
                <w:i w:val="0"/>
                <w:sz w:val="22"/>
              </w:rPr>
              <w:t>Fertilizer</w:t>
            </w:r>
          </w:p>
        </w:tc>
        <w:tc>
          <w:tcPr>
            <w:tcW w:type="dxa" w:w="5083"/>
            <w:vAlign w:val="center"/>
            <w:shd w:fill="FFFFFF"/>
          </w:tcPr>
          <w:p>
            <w:pPr>
              <w:spacing w:after="60"/>
            </w:pPr>
            <w:r>
              <w:rPr>
                <w:b w:val="0"/>
                <w:i w:val="0"/>
                <w:sz w:val="22"/>
              </w:rPr>
              <w:t>Do not fertilize. Conventional feeding does not replace fungal carbon transfer.</w:t>
            </w:r>
          </w:p>
        </w:tc>
      </w:tr>
      <w:tr>
        <w:trPr>
          <w:cantSplit/>
        </w:trPr>
        <w:tc>
          <w:tcPr>
            <w:tcW w:type="dxa" w:w="5083"/>
            <w:vAlign w:val="center"/>
            <w:shd w:fill="FFFFFF"/>
          </w:tcPr>
          <w:p>
            <w:pPr>
              <w:spacing w:after="60"/>
            </w:pPr>
            <w:r>
              <w:rPr>
                <w:b/>
                <w:i w:val="0"/>
                <w:sz w:val="22"/>
              </w:rPr>
              <w:t>Propagation</w:t>
            </w:r>
          </w:p>
        </w:tc>
        <w:tc>
          <w:tcPr>
            <w:tcW w:type="dxa" w:w="5083"/>
            <w:vAlign w:val="center"/>
            <w:shd w:fill="FFFFFF"/>
          </w:tcPr>
          <w:p>
            <w:pPr>
              <w:spacing w:after="60"/>
            </w:pPr>
            <w:r>
              <w:rPr>
                <w:b w:val="0"/>
                <w:i w:val="0"/>
                <w:sz w:val="22"/>
              </w:rPr>
              <w:t>No practical method published. Seed, tissue culture, and transplantation should be left to permitted conservation research.</w:t>
            </w:r>
          </w:p>
        </w:tc>
      </w:tr>
      <w:tr>
        <w:trPr>
          <w:cantSplit/>
        </w:trPr>
        <w:tc>
          <w:tcPr>
            <w:tcW w:type="dxa" w:w="5083"/>
            <w:vAlign w:val="center"/>
            <w:shd w:fill="FFFFFF"/>
          </w:tcPr>
          <w:p>
            <w:pPr>
              <w:spacing w:after="60"/>
            </w:pPr>
            <w:r>
              <w:rPr>
                <w:b/>
                <w:i w:val="0"/>
                <w:sz w:val="22"/>
              </w:rPr>
              <w:t>Ethical action</w:t>
            </w:r>
          </w:p>
        </w:tc>
        <w:tc>
          <w:tcPr>
            <w:tcW w:type="dxa" w:w="5083"/>
            <w:vAlign w:val="center"/>
            <w:shd w:fill="FFFFFF"/>
          </w:tcPr>
          <w:p>
            <w:pPr>
              <w:spacing w:after="60"/>
            </w:pPr>
            <w:r>
              <w:rPr>
                <w:b w:val="0"/>
                <w:i w:val="0"/>
                <w:sz w:val="22"/>
              </w:rPr>
              <w:t>Observe and photograph in place. Do not collect plants, flowers, litter, soil, seed, or fungi.</w:t>
            </w:r>
          </w:p>
        </w:tc>
      </w:tr>
    </w:tbl>
    <w:p>
      <w:pPr>
        <w:spacing w:after="20"/>
      </w:pPr>
    </w:p>
    <w:p>
      <w:pPr>
        <w:pStyle w:val="Heading2"/>
      </w:pPr>
      <w:r>
        <w:t>Conservation</w:t>
      </w:r>
    </w:p>
    <w:p>
      <w:r>
        <w:rPr>
          <w:b/>
          <w:i w:val="0"/>
        </w:rPr>
        <w:t xml:space="preserve">Provisional status: Critically Endangered (CR). </w:t>
      </w:r>
      <w:r>
        <w:t>The describing authors knew one population of fewer than 50 mature individuals occupying less than 100 m². Its national-park location provides legal protection, but trampling, tourism pressure, habitat disturbance, and the fragility of its fungal association remain serious risks. This is a provisional assessment by the authors, not yet an IUCN Red List listing.</w:t>
      </w:r>
    </w:p>
    <w:p>
      <w:pPr>
        <w:pStyle w:val="Heading2"/>
      </w:pPr>
      <w:r>
        <w:t>Taxonomy and discovery</w:t>
      </w:r>
    </w:p>
    <w:p>
      <w:r>
        <w:rPr>
          <w:b w:val="0"/>
          <w:i w:val="0"/>
        </w:rPr>
        <w:t>Formally described in 2026 from material discovered during botanical surveys in 2025. Molecular evidence places it in Thismia section Geomitra, sister to T. betung-kerihunensis. The find extends the known range of section Geomitra north from Peninsular Malaysia, Borneo, and Sumatra into mainland Thailand.</w:t>
      </w:r>
    </w:p>
    <w:p>
      <w:pPr>
        <w:pStyle w:val="ListBullet"/>
      </w:pPr>
      <w:r>
        <w:rPr>
          <w:b w:val="0"/>
          <w:i w:val="0"/>
        </w:rPr>
        <w:t xml:space="preserve">Seelanan, T., Chantapram, I., Taosiri, N., Chuchuea, C., &amp; Chantanaorrapint, S. (2026). Thismia daemona (Thismiaceae), a new species from Thailand supported by morphological and molecular evidence. PhytoKeys 278: 177-189. </w:t>
      </w:r>
      <w:hyperlink r:id="rId12">
        <w:r>
          <w:rPr>
            <w:color w:val="245B43"/>
            <w:u w:val="single"/>
          </w:rPr>
          <w:t>DOI</w:t>
        </w:r>
      </w:hyperlink>
    </w:p>
    <w:p>
      <w:pPr>
        <w:pStyle w:val="ListBullet"/>
      </w:pPr>
      <w:r>
        <w:rPr>
          <w:b w:val="0"/>
          <w:i w:val="0"/>
        </w:rPr>
        <w:t xml:space="preserve">Pensoft Publishers (2026). New “devil flower” species discovered in Thai national park. </w:t>
      </w:r>
      <w:hyperlink r:id="rId13">
        <w:r>
          <w:rPr>
            <w:color w:val="245B43"/>
            <w:u w:val="single"/>
          </w:rPr>
          <w:t>Source</w:t>
        </w:r>
      </w:hyperlink>
    </w:p>
    <w:p>
      <w:pPr>
        <w:pStyle w:val="ListBullet"/>
      </w:pPr>
      <w:r>
        <w:rPr>
          <w:b w:val="0"/>
          <w:i w:val="0"/>
        </w:rPr>
        <w:t xml:space="preserve">IUCN Red List Categories and Criteria, Version 3.1. </w:t>
      </w:r>
      <w:hyperlink r:id="rId14">
        <w:r>
          <w:rPr>
            <w:color w:val="245B43"/>
            <w:u w:val="single"/>
          </w:rPr>
          <w:t>Source</w:t>
        </w:r>
      </w:hyperlink>
    </w:p>
    <w:p>
      <w:pPr>
        <w:pStyle w:val="Heading2"/>
      </w:pPr>
      <w:r>
        <w:t>Current Standard mix</w:t>
      </w:r>
    </w:p>
    <w:p>
      <w:r>
        <w:rPr>
          <w:b w:val="0"/>
          <w:i w:val="0"/>
        </w:rPr>
        <w:t>No validated Standard potting mix or home cultivation protocol is known for this fungal-dependent forest plant.</w:t>
      </w:r>
    </w:p>
    <w:p>
      <w:r>
        <w:rPr>
          <w:b w:val="0"/>
          <w:i w:val="0"/>
        </w:rPr>
        <w:t xml:space="preserve">Added September 22, 2026 · </w:t>
      </w:r>
      <w:hyperlink r:id="rId15">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thismia-daemona/" TargetMode="External"/><Relationship Id="rId12" Type="http://schemas.openxmlformats.org/officeDocument/2006/relationships/hyperlink" Target="https://doi.org/10.3897/phytokeys.278.202868" TargetMode="External"/><Relationship Id="rId13" Type="http://schemas.openxmlformats.org/officeDocument/2006/relationships/hyperlink" Target="https://blog.pensoft.net/2026/09/02/new-devil-flower-species-discovered-in-thai-national-park/" TargetMode="External"/><Relationship Id="rId14" Type="http://schemas.openxmlformats.org/officeDocument/2006/relationships/hyperlink" Target="https://www.iucnredlist.org/resources/categories-and-criteria" TargetMode="External"/><Relationship Id="rId15" Type="http://schemas.openxmlformats.org/officeDocument/2006/relationships/hyperlink" Target="https://planteducationproject.com/information-sheets/master-index/" TargetMode="External"/><Relationship Id="rId16"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thismia daemona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