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Spider Plant</w:t>
      </w:r>
    </w:p>
    <w:p>
      <w:pPr>
        <w:spacing w:after="320"/>
      </w:pPr>
      <w:r>
        <w:t>Combined Information Sheets</w:t>
      </w:r>
    </w:p>
    <w:p>
      <w:pPr>
        <w:pStyle w:val="Heading1"/>
      </w:pPr>
      <w:r>
        <w:t>Spider Plant</w:t>
      </w:r>
    </w:p>
    <w:p>
      <w:r>
        <w:rPr>
          <w:b/>
        </w:rPr>
        <w:t xml:space="preserve">Online Information Sheet: </w:t>
      </w:r>
      <w:hyperlink r:id="rId11">
        <w:r>
          <w:rPr>
            <w:color w:val="245B43"/>
            <w:u w:val="single"/>
          </w:rPr>
          <w:t>planteducationproject.com/spider-plant/</w:t>
        </w:r>
      </w:hyperlink>
    </w:p>
    <w:p>
      <w:r>
        <w:rPr>
          <w:b w:val="0"/>
          <w:i w:val="0"/>
        </w:rPr>
        <w:t>🌿 Plant Information Sheet</w:t>
      </w:r>
    </w:p>
    <w:p>
      <w:pPr>
        <w:pStyle w:val="Heading2"/>
      </w:pPr>
      <w:r>
        <w:t>QUICK ID</w:t>
      </w:r>
    </w:p>
    <w:p>
      <w:r>
        <w:rPr>
          <w:b/>
          <w:i w:val="0"/>
        </w:rPr>
        <w:t xml:space="preserve">Form: </w:t>
      </w:r>
      <w:r>
        <w:t xml:space="preserve">Evergreen, rosette-forming perennial with fleshy storage roots. </w:t>
      </w:r>
      <w:r>
        <w:rPr>
          <w:b/>
          <w:i w:val="0"/>
        </w:rPr>
        <w:t xml:space="preserve">Leaves: </w:t>
      </w:r>
      <w:r>
        <w:t xml:space="preserve">Long, arching, strap-like green or green-and-white leaves. </w:t>
      </w:r>
      <w:r>
        <w:rPr>
          <w:b/>
          <w:i w:val="0"/>
        </w:rPr>
        <w:t xml:space="preserve">Flowers: </w:t>
      </w:r>
      <w:r>
        <w:t xml:space="preserve">Small, white, six-parted, star-like flowers on long arching stems. </w:t>
      </w:r>
      <w:r>
        <w:rPr>
          <w:b/>
          <w:i w:val="0"/>
        </w:rPr>
        <w:t xml:space="preserve">Plantlets: </w:t>
      </w:r>
      <w:r>
        <w:t>Baby rosettes form on the flowering stems and readily root.</w:t>
      </w:r>
    </w:p>
    <w:p>
      <w:pPr>
        <w:pStyle w:val="Heading2"/>
      </w:pPr>
      <w:r>
        <w:t>Native status, spread and safety</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Status</w:t>
            </w:r>
          </w:p>
        </w:tc>
      </w:tr>
      <w:tr>
        <w:trPr>
          <w:cantSplit/>
        </w:trPr>
        <w:tc>
          <w:tcPr>
            <w:tcW w:type="dxa" w:w="5083"/>
            <w:vAlign w:val="center"/>
            <w:shd w:fill="FFFFFF"/>
          </w:tcPr>
          <w:p>
            <w:pPr>
              <w:spacing w:after="60"/>
            </w:pPr>
            <w:r>
              <w:rPr>
                <w:b/>
                <w:i w:val="0"/>
                <w:sz w:val="22"/>
              </w:rPr>
              <w:t>Native to Tippecanoe County, Indiana</w:t>
            </w:r>
          </w:p>
        </w:tc>
        <w:tc>
          <w:tcPr>
            <w:tcW w:type="dxa" w:w="5083"/>
            <w:vAlign w:val="center"/>
            <w:shd w:fill="FFFFFF"/>
          </w:tcPr>
          <w:p>
            <w:pPr>
              <w:spacing w:after="60"/>
            </w:pPr>
            <w:r>
              <w:rPr>
                <w:b w:val="0"/>
                <w:i w:val="0"/>
                <w:sz w:val="22"/>
              </w:rPr>
              <w:t>No. The plant’s native range is outside Indiana.</w:t>
            </w:r>
          </w:p>
        </w:tc>
      </w:tr>
      <w:tr>
        <w:trPr>
          <w:cantSplit/>
        </w:trPr>
        <w:tc>
          <w:tcPr>
            <w:tcW w:type="dxa" w:w="5083"/>
            <w:vAlign w:val="center"/>
            <w:shd w:fill="FFFFFF"/>
          </w:tcPr>
          <w:p>
            <w:pPr>
              <w:spacing w:after="60"/>
            </w:pPr>
            <w:r>
              <w:rPr>
                <w:b/>
                <w:i w:val="0"/>
                <w:sz w:val="22"/>
              </w:rPr>
              <w:t>Native to the United States</w:t>
            </w:r>
          </w:p>
        </w:tc>
        <w:tc>
          <w:tcPr>
            <w:tcW w:type="dxa" w:w="5083"/>
            <w:vAlign w:val="center"/>
            <w:shd w:fill="FFFFFF"/>
          </w:tcPr>
          <w:p>
            <w:pPr>
              <w:spacing w:after="60"/>
            </w:pPr>
            <w:r>
              <w:rPr>
                <w:b w:val="0"/>
                <w:i w:val="0"/>
                <w:sz w:val="22"/>
              </w:rPr>
              <w:t>No.</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No Indiana invasive designation established by this revision. Frost-sensitive container culture does not establish its status in other climates.</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Limited; flowering, pollination and seedling conditions must all be suitable. Vegetative propagation is more dependable in ordinary home culture.</w:t>
            </w:r>
          </w:p>
        </w:tc>
      </w:tr>
      <w:tr>
        <w:trPr>
          <w:cantSplit/>
        </w:trPr>
        <w:tc>
          <w:tcPr>
            <w:tcW w:type="dxa" w:w="5083"/>
            <w:vAlign w:val="center"/>
            <w:shd w:fill="FFFFFF"/>
          </w:tcPr>
          <w:p>
            <w:pPr>
              <w:spacing w:after="60"/>
            </w:pPr>
            <w:r>
              <w:rPr>
                <w:b/>
                <w:i w:val="0"/>
                <w:sz w:val="22"/>
              </w:rPr>
              <w:t>Edibility and cautions</w:t>
            </w:r>
          </w:p>
        </w:tc>
        <w:tc>
          <w:tcPr>
            <w:tcW w:type="dxa" w:w="5083"/>
            <w:vAlign w:val="center"/>
            <w:shd w:fill="FFFFFF"/>
          </w:tcPr>
          <w:p>
            <w:pPr>
              <w:spacing w:after="60"/>
            </w:pPr>
            <w:r>
              <w:rPr>
                <w:b w:val="0"/>
                <w:i w:val="0"/>
                <w:sz w:val="22"/>
              </w:rPr>
              <w:t>No food use established here. Do not eat ornamental plants or equate a non-toxic classification with edibility.</w:t>
            </w:r>
          </w:p>
        </w:tc>
      </w:tr>
    </w:tbl>
    <w:p>
      <w:pPr>
        <w:spacing w:after="20"/>
      </w:pPr>
    </w:p>
    <w:p>
      <w:r>
        <w:rPr>
          <w:b w:val="0"/>
          <w:i/>
        </w:rPr>
        <w:t>To understand the care of a plant, understand its native climate and environment.</w:t>
      </w:r>
    </w:p>
    <w:p>
      <w:pPr>
        <w:pStyle w:val="Heading2"/>
      </w:pPr>
      <w:r>
        <w:t>CARE AT A GLANCE</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LIGHT</w:t>
            </w:r>
          </w:p>
        </w:tc>
        <w:tc>
          <w:tcPr>
            <w:tcW w:type="dxa" w:w="5083"/>
            <w:vAlign w:val="center"/>
            <w:shd w:fill="E9EDF0"/>
          </w:tcPr>
          <w:p>
            <w:pPr>
              <w:spacing w:after="60"/>
            </w:pPr>
            <w:r>
              <w:rPr>
                <w:b/>
                <w:i w:val="0"/>
                <w:sz w:val="22"/>
              </w:rPr>
              <w:t>Bright indirect light is ideal. Tolerates lower light; strong direct sun can scorch leaves.</w:t>
            </w:r>
          </w:p>
        </w:tc>
      </w:tr>
      <w:tr>
        <w:trPr>
          <w:cantSplit/>
        </w:trPr>
        <w:tc>
          <w:tcPr>
            <w:tcW w:type="dxa" w:w="5083"/>
            <w:vAlign w:val="center"/>
            <w:shd w:fill="FFFFFF"/>
          </w:tcPr>
          <w:p>
            <w:pPr>
              <w:spacing w:after="60"/>
            </w:pPr>
            <w:r>
              <w:rPr>
                <w:b/>
                <w:i w:val="0"/>
                <w:sz w:val="22"/>
              </w:rPr>
              <w:t>WATER</w:t>
            </w:r>
          </w:p>
        </w:tc>
        <w:tc>
          <w:tcPr>
            <w:tcW w:type="dxa" w:w="5083"/>
            <w:vAlign w:val="center"/>
            <w:shd w:fill="FFFFFF"/>
          </w:tcPr>
          <w:p>
            <w:pPr>
              <w:spacing w:after="60"/>
            </w:pPr>
            <w:r>
              <w:rPr>
                <w:b w:val="0"/>
                <w:i w:val="0"/>
                <w:sz w:val="22"/>
              </w:rPr>
              <w:t>Water thoroughly, then let the upper portion of the mix dry slightly. Reduce watering in winter. Do not leave the roots waterlogged.</w:t>
            </w:r>
          </w:p>
        </w:tc>
      </w:tr>
      <w:tr>
        <w:trPr>
          <w:cantSplit/>
        </w:trPr>
        <w:tc>
          <w:tcPr>
            <w:tcW w:type="dxa" w:w="5083"/>
            <w:vAlign w:val="center"/>
            <w:shd w:fill="FFFFFF"/>
          </w:tcPr>
          <w:p>
            <w:pPr>
              <w:spacing w:after="60"/>
            </w:pPr>
            <w:r>
              <w:rPr>
                <w:b/>
                <w:i w:val="0"/>
                <w:sz w:val="22"/>
              </w:rPr>
              <w:t>SOIL</w:t>
            </w:r>
          </w:p>
        </w:tc>
        <w:tc>
          <w:tcPr>
            <w:tcW w:type="dxa" w:w="5083"/>
            <w:vAlign w:val="center"/>
            <w:shd w:fill="FFFFFF"/>
          </w:tcPr>
          <w:p>
            <w:pPr>
              <w:spacing w:after="60"/>
            </w:pPr>
            <w:r>
              <w:rPr>
                <w:b w:val="0"/>
                <w:i w:val="0"/>
                <w:sz w:val="22"/>
              </w:rPr>
              <w:t>Tropical Foliage Standard Mix: 1 part generic potting soil + 1 part coarse perlite, by volume.</w:t>
            </w:r>
          </w:p>
        </w:tc>
      </w:tr>
      <w:tr>
        <w:trPr>
          <w:cantSplit/>
        </w:trPr>
        <w:tc>
          <w:tcPr>
            <w:tcW w:type="dxa" w:w="5083"/>
            <w:vAlign w:val="center"/>
            <w:shd w:fill="FFFFFF"/>
          </w:tcPr>
          <w:p>
            <w:pPr>
              <w:spacing w:after="60"/>
            </w:pPr>
            <w:r>
              <w:rPr>
                <w:b/>
                <w:i w:val="0"/>
                <w:sz w:val="22"/>
              </w:rPr>
              <w:t>TEMPERATURE</w:t>
            </w:r>
          </w:p>
        </w:tc>
        <w:tc>
          <w:tcPr>
            <w:tcW w:type="dxa" w:w="5083"/>
            <w:vAlign w:val="center"/>
            <w:shd w:fill="FFFFFF"/>
          </w:tcPr>
          <w:p>
            <w:pPr>
              <w:spacing w:after="60"/>
            </w:pPr>
            <w:r>
              <w:rPr>
                <w:b w:val="0"/>
                <w:i w:val="0"/>
                <w:sz w:val="22"/>
              </w:rPr>
              <w:t>Normal indoor temperatures are suitable. Protect from cold; NC State recommends keeping it above about 45°F (7°C).</w:t>
            </w:r>
          </w:p>
        </w:tc>
      </w:tr>
      <w:tr>
        <w:trPr>
          <w:cantSplit/>
        </w:trPr>
        <w:tc>
          <w:tcPr>
            <w:tcW w:type="dxa" w:w="5083"/>
            <w:vAlign w:val="center"/>
            <w:shd w:fill="FFFFFF"/>
          </w:tcPr>
          <w:p>
            <w:pPr>
              <w:spacing w:after="60"/>
            </w:pPr>
            <w:r>
              <w:rPr>
                <w:b/>
                <w:i w:val="0"/>
                <w:sz w:val="22"/>
              </w:rPr>
              <w:t>FEEDING</w:t>
            </w:r>
          </w:p>
        </w:tc>
        <w:tc>
          <w:tcPr>
            <w:tcW w:type="dxa" w:w="5083"/>
            <w:vAlign w:val="center"/>
            <w:shd w:fill="FFFFFF"/>
          </w:tcPr>
          <w:p>
            <w:pPr>
              <w:spacing w:after="60"/>
            </w:pPr>
            <w:r>
              <w:rPr>
                <w:b w:val="0"/>
                <w:i w:val="0"/>
                <w:sz w:val="22"/>
              </w:rPr>
              <w:t>Feed lightly during active growth. About monthly with a dilute balanced soluble fertilizer is adequate. Heavy feeding can reduce plantlet production and contribute to tip burn.</w:t>
            </w:r>
          </w:p>
        </w:tc>
      </w:tr>
      <w:tr>
        <w:trPr>
          <w:cantSplit/>
        </w:trPr>
        <w:tc>
          <w:tcPr>
            <w:tcW w:type="dxa" w:w="5083"/>
            <w:vAlign w:val="center"/>
            <w:shd w:fill="FFFFFF"/>
          </w:tcPr>
          <w:p>
            <w:pPr>
              <w:spacing w:after="60"/>
            </w:pPr>
            <w:r>
              <w:rPr>
                <w:b/>
                <w:i w:val="0"/>
                <w:sz w:val="22"/>
              </w:rPr>
              <w:t>HUMIDITY</w:t>
            </w:r>
          </w:p>
        </w:tc>
        <w:tc>
          <w:tcPr>
            <w:tcW w:type="dxa" w:w="5083"/>
            <w:vAlign w:val="center"/>
            <w:shd w:fill="FFFFFF"/>
          </w:tcPr>
          <w:p>
            <w:pPr>
              <w:spacing w:after="60"/>
            </w:pPr>
            <w:r>
              <w:rPr>
                <w:b w:val="0"/>
                <w:i w:val="0"/>
                <w:sz w:val="22"/>
              </w:rPr>
              <w:t>Average household humidity is usually adequate; very dry air can contribute to brown tips.</w:t>
            </w:r>
          </w:p>
        </w:tc>
      </w:tr>
    </w:tbl>
    <w:p>
      <w:pPr>
        <w:spacing w:after="20"/>
      </w:pPr>
    </w:p>
    <w:p>
      <w:pPr>
        <w:pStyle w:val="Heading2"/>
      </w:pPr>
      <w:r>
        <w:t>NATIVE ENVIRONMENT</w:t>
      </w:r>
    </w:p>
    <w:p>
      <w:pPr>
        <w:pStyle w:val="Heading2"/>
      </w:pPr>
      <w:r>
        <w:t>PROPAGATION</w:t>
      </w:r>
    </w:p>
    <w:p>
      <w:r>
        <w:rPr>
          <w:b/>
          <w:i w:val="0"/>
        </w:rPr>
        <w:t xml:space="preserve">• </w:t>
      </w:r>
      <w:r>
        <w:t>Plantlets — easiest method. Let a plantlet develop small roots, remove it from the stolon, and pot it in moist, well-drained mix. It may also be rooted while still attached to the mother plant.</w:t>
      </w:r>
    </w:p>
    <w:p>
      <w:r>
        <w:rPr>
          <w:b/>
          <w:i w:val="0"/>
        </w:rPr>
        <w:t xml:space="preserve">• </w:t>
      </w:r>
      <w:r>
        <w:t>Division — remove the plant from its pot, separate rooted crowns, and repot each division.</w:t>
      </w:r>
    </w:p>
    <w:p>
      <w:r>
        <w:rPr>
          <w:b/>
          <w:i w:val="0"/>
        </w:rPr>
        <w:t xml:space="preserve">• </w:t>
      </w:r>
      <w:r>
        <w:t>Seed — possible, but slower and unnecessary for routine houseplant propagation.</w:t>
      </w:r>
    </w:p>
    <w:p>
      <w:pPr>
        <w:pStyle w:val="Heading2"/>
      </w:pPr>
      <w:r>
        <w:t>COMMON PROBLEMS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Brown leaf tips</w:t>
            </w:r>
          </w:p>
        </w:tc>
        <w:tc>
          <w:tcPr>
            <w:tcW w:type="dxa" w:w="5083"/>
            <w:vAlign w:val="center"/>
            <w:shd w:fill="E9EDF0"/>
          </w:tcPr>
          <w:p>
            <w:pPr>
              <w:spacing w:after="60"/>
            </w:pPr>
            <w:r>
              <w:rPr>
                <w:b/>
                <w:i w:val="0"/>
                <w:sz w:val="22"/>
              </w:rPr>
              <w:t>Commonly associated with dry conditions, excess fertilizer/salts, or water-quality problems. Trim damaged tips and correct the underlying cause.</w:t>
            </w:r>
          </w:p>
        </w:tc>
      </w:tr>
      <w:tr>
        <w:trPr>
          <w:cantSplit/>
        </w:trPr>
        <w:tc>
          <w:tcPr>
            <w:tcW w:type="dxa" w:w="5083"/>
            <w:vAlign w:val="center"/>
            <w:shd w:fill="FFFFFF"/>
          </w:tcPr>
          <w:p>
            <w:pPr>
              <w:spacing w:after="60"/>
            </w:pPr>
            <w:r>
              <w:rPr>
                <w:b/>
                <w:i w:val="0"/>
                <w:sz w:val="22"/>
              </w:rPr>
              <w:t>Pale/scorched leaves</w:t>
            </w:r>
          </w:p>
        </w:tc>
        <w:tc>
          <w:tcPr>
            <w:tcW w:type="dxa" w:w="5083"/>
            <w:vAlign w:val="center"/>
            <w:shd w:fill="FFFFFF"/>
          </w:tcPr>
          <w:p>
            <w:pPr>
              <w:spacing w:after="60"/>
            </w:pPr>
            <w:r>
              <w:rPr>
                <w:b w:val="0"/>
                <w:i w:val="0"/>
                <w:sz w:val="22"/>
              </w:rPr>
              <w:t>Too much direct sun. Move to bright filtered light.</w:t>
            </w:r>
          </w:p>
        </w:tc>
      </w:tr>
      <w:tr>
        <w:trPr>
          <w:cantSplit/>
        </w:trPr>
        <w:tc>
          <w:tcPr>
            <w:tcW w:type="dxa" w:w="5083"/>
            <w:vAlign w:val="center"/>
            <w:shd w:fill="FFFFFF"/>
          </w:tcPr>
          <w:p>
            <w:pPr>
              <w:spacing w:after="60"/>
            </w:pPr>
            <w:r>
              <w:rPr>
                <w:b/>
                <w:i w:val="0"/>
                <w:sz w:val="22"/>
              </w:rPr>
              <w:t>Soft roots / collapse</w:t>
            </w:r>
          </w:p>
        </w:tc>
        <w:tc>
          <w:tcPr>
            <w:tcW w:type="dxa" w:w="5083"/>
            <w:vAlign w:val="center"/>
            <w:shd w:fill="FFFFFF"/>
          </w:tcPr>
          <w:p>
            <w:pPr>
              <w:spacing w:after="60"/>
            </w:pPr>
            <w:r>
              <w:rPr>
                <w:b w:val="0"/>
                <w:i w:val="0"/>
                <w:sz w:val="22"/>
              </w:rPr>
              <w:t>Usually excessive moisture and poor drainage; check for root rot.</w:t>
            </w:r>
          </w:p>
        </w:tc>
      </w:tr>
      <w:tr>
        <w:trPr>
          <w:cantSplit/>
        </w:trPr>
        <w:tc>
          <w:tcPr>
            <w:tcW w:type="dxa" w:w="5083"/>
            <w:vAlign w:val="center"/>
            <w:shd w:fill="FFFFFF"/>
          </w:tcPr>
          <w:p>
            <w:pPr>
              <w:spacing w:after="60"/>
            </w:pPr>
            <w:r>
              <w:rPr>
                <w:b/>
                <w:i w:val="0"/>
                <w:sz w:val="22"/>
              </w:rPr>
              <w:t>Few plantlets</w:t>
            </w:r>
          </w:p>
        </w:tc>
        <w:tc>
          <w:tcPr>
            <w:tcW w:type="dxa" w:w="5083"/>
            <w:vAlign w:val="center"/>
            <w:shd w:fill="FFFFFF"/>
          </w:tcPr>
          <w:p>
            <w:pPr>
              <w:spacing w:after="60"/>
            </w:pPr>
            <w:r>
              <w:rPr>
                <w:b w:val="0"/>
                <w:i w:val="0"/>
                <w:sz w:val="22"/>
              </w:rPr>
              <w:t>Immaturity, excessive fertilizer, or unsuitable light/day-length conditions can reduce plantlet formation.</w:t>
            </w:r>
          </w:p>
        </w:tc>
      </w:tr>
      <w:tr>
        <w:trPr>
          <w:cantSplit/>
        </w:trPr>
        <w:tc>
          <w:tcPr>
            <w:tcW w:type="dxa" w:w="5083"/>
            <w:vAlign w:val="center"/>
            <w:shd w:fill="FFFFFF"/>
          </w:tcPr>
          <w:p>
            <w:pPr>
              <w:spacing w:after="60"/>
            </w:pPr>
            <w:r>
              <w:rPr>
                <w:b/>
                <w:i w:val="0"/>
                <w:sz w:val="22"/>
              </w:rPr>
              <w:t>Pests</w:t>
            </w:r>
          </w:p>
        </w:tc>
        <w:tc>
          <w:tcPr>
            <w:tcW w:type="dxa" w:w="5083"/>
            <w:vAlign w:val="center"/>
            <w:shd w:fill="FFFFFF"/>
          </w:tcPr>
          <w:p>
            <w:pPr>
              <w:spacing w:after="60"/>
            </w:pPr>
            <w:r>
              <w:rPr>
                <w:b w:val="0"/>
                <w:i w:val="0"/>
                <w:sz w:val="22"/>
              </w:rPr>
              <w:t>Generally trouble-free, but mites, scale, aphids or whiteflies can occasionally occur.</w:t>
            </w:r>
          </w:p>
        </w:tc>
      </w:tr>
    </w:tbl>
    <w:p>
      <w:pPr>
        <w:spacing w:after="20"/>
      </w:pPr>
    </w:p>
    <w:p>
      <w:pPr>
        <w:pStyle w:val="Heading2"/>
      </w:pPr>
      <w:r>
        <w:t>BOTTOM LINE</w:t>
      </w:r>
    </w:p>
    <w:p>
      <w:r>
        <w:rPr>
          <w:b/>
          <w:i w:val="0"/>
        </w:rPr>
        <w:t>BRIGHT FILTERED LIGHT + GOOD DRAINAGE + MODERATE WATER + LIGHT FEEDING.</w:t>
      </w:r>
      <w:r>
        <w:t xml:space="preserve"> Spider plant is forgiving, but chronic saturation, harsh direct sun and over-fertilization cause most avoidable problems.</w:t>
      </w:r>
    </w:p>
    <w:p>
      <w:pPr>
        <w:pStyle w:val="Heading2"/>
      </w:pPr>
      <w:r>
        <w:t>References</w:t>
      </w:r>
    </w:p>
    <w:p>
      <w:r>
        <w:rPr>
          <w:b w:val="0"/>
          <w:i w:val="0"/>
        </w:rPr>
        <w:t>SANBI PlantZAfrica — Chlorophytum comosum: distribution, habitat, ecology and cultivation.</w:t>
      </w:r>
    </w:p>
    <w:p>
      <w:r>
        <w:rPr>
          <w:b w:val="0"/>
          <w:i w:val="0"/>
        </w:rPr>
        <w:t>NC State Extension Gardener Plant Toolbox — Chlorophytum comosum: houseplant care, propagation and problems.</w:t>
      </w:r>
    </w:p>
    <w:p>
      <w:r>
        <w:rPr>
          <w:b w:val="0"/>
          <w:i w:val="0"/>
        </w:rPr>
        <w:t>Mississippi State University Extension — hanging-basket care and fertilizer guidance.</w:t>
      </w:r>
    </w:p>
    <w:p>
      <w:r>
        <w:rPr>
          <w:b w:val="0"/>
          <w:i w:val="0"/>
        </w:rPr>
        <w:t>Habitat photographs: Dr. Ernst van Jaarsveld photographs reproduced by Our Plant Stories; Nature Back In, KwaZulu-Natal Midlands.</w:t>
      </w:r>
    </w:p>
    <w:p>
      <w:pPr>
        <w:pStyle w:val="Heading2"/>
      </w:pPr>
      <w:r>
        <w:t>Current Standard mix</w:t>
      </w:r>
    </w:p>
    <w:p>
      <w:r>
        <w:rPr>
          <w:b w:val="0"/>
          <w:i w:val="0"/>
        </w:rPr>
        <w:t>Tropical Foliage Standard Mix: 1 part generic potting soil + 1 part coarse perlite, by volume.</w:t>
      </w:r>
    </w:p>
    <w:p>
      <w:r>
        <w:rPr>
          <w:b w:val="0"/>
          <w:i w:val="0"/>
        </w:rPr>
        <w:t>Mix by volume without compression and keep the drainage hole open. Match watering to the species and root-zone drying. These are container recipes, not replacements for outdoor bed soil.</w:t>
      </w:r>
    </w:p>
    <w:p>
      <w:pPr>
        <w:pStyle w:val="Heading2"/>
      </w:pPr>
      <w:r>
        <w:t>Flowering, feeding and propagation</w:t>
      </w:r>
    </w:p>
    <w:p>
      <w:r>
        <w:rPr>
          <w:b w:val="0"/>
          <w:i w:val="0"/>
        </w:rPr>
        <w:t>Small white flowers occur on long stems that also bear plantlets. Root a plantlet while attached or divide an established clump. Feed lightly during active growth according to the fertilizer label; excessive feeding can reduce plantlet production. Provide bright filtered light, warmth and drainage, with partial drying between thorough waterings.</w:t>
      </w:r>
    </w:p>
    <w:p>
      <w:hyperlink r:id="rId12">
        <w:r>
          <w:rPr>
            <w:color w:val="245B43"/>
            <w:u w:val="single"/>
          </w:rPr>
          <w:t>NC State Extension — chlorophytum comosum</w:t>
        </w:r>
      </w:hyperlink>
    </w:p>
    <w:p>
      <w:r>
        <w:rPr>
          <w:b w:val="0"/>
          <w:i w:val="0"/>
        </w:rPr>
        <w:t xml:space="preserve">Added September 22, 2026 · </w:t>
      </w:r>
      <w:hyperlink r:id="rId1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Spider Plant — Environment</w:t>
      </w:r>
    </w:p>
    <w:p>
      <w:r>
        <w:rPr>
          <w:b/>
        </w:rPr>
        <w:t xml:space="preserve">Online Information Sheet: </w:t>
      </w:r>
      <w:hyperlink r:id="rId15">
        <w:r>
          <w:rPr>
            <w:color w:val="245B43"/>
            <w:u w:val="single"/>
          </w:rPr>
          <w:t>planteducationproject.com/spider-plant/environment/</w:t>
        </w:r>
      </w:hyperlink>
    </w:p>
    <w:p>
      <w:r>
        <w:rPr>
          <w:b w:val="0"/>
          <w:i w:val="0"/>
        </w:rPr>
        <w:t>🌿 Environment Information Sheet</w:t>
      </w:r>
    </w:p>
    <w:p>
      <w:pPr>
        <w:pStyle w:val="Heading2"/>
      </w:pPr>
      <w:r>
        <w:t>THE BIG IDEA</w:t>
      </w:r>
    </w:p>
    <w:p>
      <w:r>
        <w:rPr>
          <w:b/>
          <w:i w:val="0"/>
        </w:rPr>
        <w:t xml:space="preserve">Spider plant is primarily an African forest-understory and river-valley plant—not a desert plant. </w:t>
      </w:r>
      <w:r>
        <w:t>Its native environments combine shade, drainage, organic litter and seasonal moisture. Thick fleshy roots help it bridge dry periods.</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Range</w:t>
            </w:r>
          </w:p>
        </w:tc>
        <w:tc>
          <w:tcPr>
            <w:tcW w:type="dxa" w:w="5083"/>
            <w:vAlign w:val="center"/>
            <w:shd w:fill="E9EDF0"/>
          </w:tcPr>
          <w:p>
            <w:pPr>
              <w:spacing w:after="60"/>
            </w:pPr>
            <w:r>
              <w:rPr>
                <w:b/>
                <w:i w:val="0"/>
                <w:sz w:val="22"/>
              </w:rPr>
              <w:t>Broadly native in sub-Saharan Africa. In South Africa it occurs from the Western Cape through the Eastern Cape and KwaZulu-Natal to Mpumalanga and Limpopo.</w:t>
            </w:r>
          </w:p>
        </w:tc>
      </w:tr>
      <w:tr>
        <w:trPr>
          <w:cantSplit/>
        </w:trPr>
        <w:tc>
          <w:tcPr>
            <w:tcW w:type="dxa" w:w="5083"/>
            <w:vAlign w:val="center"/>
            <w:shd w:fill="FFFFFF"/>
          </w:tcPr>
          <w:p>
            <w:pPr>
              <w:spacing w:after="60"/>
            </w:pPr>
            <w:r>
              <w:rPr>
                <w:b/>
                <w:i w:val="0"/>
                <w:sz w:val="22"/>
              </w:rPr>
              <w:t>Elevation</w:t>
            </w:r>
          </w:p>
        </w:tc>
        <w:tc>
          <w:tcPr>
            <w:tcW w:type="dxa" w:w="5083"/>
            <w:vAlign w:val="center"/>
            <w:shd w:fill="FFFFFF"/>
          </w:tcPr>
          <w:p>
            <w:pPr>
              <w:spacing w:after="60"/>
            </w:pPr>
            <w:r>
              <w:rPr>
                <w:b w:val="0"/>
                <w:i w:val="0"/>
                <w:sz w:val="22"/>
              </w:rPr>
              <w:t>From near sea level to well above 1,000 m; SANBI records reach about 1,830 m.</w:t>
            </w:r>
          </w:p>
        </w:tc>
      </w:tr>
      <w:tr>
        <w:trPr>
          <w:cantSplit/>
        </w:trPr>
        <w:tc>
          <w:tcPr>
            <w:tcW w:type="dxa" w:w="5083"/>
            <w:vAlign w:val="center"/>
            <w:shd w:fill="FFFFFF"/>
          </w:tcPr>
          <w:p>
            <w:pPr>
              <w:spacing w:after="60"/>
            </w:pPr>
            <w:r>
              <w:rPr>
                <w:b/>
                <w:i w:val="0"/>
                <w:sz w:val="22"/>
              </w:rPr>
              <w:t>Rainfall</w:t>
            </w:r>
          </w:p>
        </w:tc>
        <w:tc>
          <w:tcPr>
            <w:tcW w:type="dxa" w:w="5083"/>
            <w:vAlign w:val="center"/>
            <w:shd w:fill="FFFFFF"/>
          </w:tcPr>
          <w:p>
            <w:pPr>
              <w:spacing w:after="60"/>
            </w:pPr>
            <w:r>
              <w:rPr>
                <w:b w:val="0"/>
                <w:i w:val="0"/>
                <w:sz w:val="22"/>
              </w:rPr>
              <w:t>Roughly 500–2,000 mm/year in the South African range.</w:t>
            </w:r>
          </w:p>
        </w:tc>
      </w:tr>
      <w:tr>
        <w:trPr>
          <w:cantSplit/>
        </w:trPr>
        <w:tc>
          <w:tcPr>
            <w:tcW w:type="dxa" w:w="5083"/>
            <w:vAlign w:val="center"/>
            <w:shd w:fill="FFFFFF"/>
          </w:tcPr>
          <w:p>
            <w:pPr>
              <w:spacing w:after="60"/>
            </w:pPr>
            <w:r>
              <w:rPr>
                <w:b/>
                <w:i w:val="0"/>
                <w:sz w:val="22"/>
              </w:rPr>
              <w:t>Habitats</w:t>
            </w:r>
          </w:p>
        </w:tc>
        <w:tc>
          <w:tcPr>
            <w:tcW w:type="dxa" w:w="5083"/>
            <w:vAlign w:val="center"/>
            <w:shd w:fill="FFFFFF"/>
          </w:tcPr>
          <w:p>
            <w:pPr>
              <w:spacing w:after="60"/>
            </w:pPr>
            <w:r>
              <w:rPr>
                <w:b w:val="0"/>
                <w:i w:val="0"/>
                <w:sz w:val="22"/>
              </w:rPr>
              <w:t>Forest understory, moist and riverine forest, thickets, forest margins, rocky kloofs, banks, cliffs and occasional moist grassland.</w:t>
            </w:r>
          </w:p>
        </w:tc>
      </w:tr>
      <w:tr>
        <w:trPr>
          <w:cantSplit/>
        </w:trPr>
        <w:tc>
          <w:tcPr>
            <w:tcW w:type="dxa" w:w="5083"/>
            <w:vAlign w:val="center"/>
            <w:shd w:fill="FFFFFF"/>
          </w:tcPr>
          <w:p>
            <w:pPr>
              <w:spacing w:after="60"/>
            </w:pPr>
            <w:r>
              <w:rPr>
                <w:b/>
                <w:i w:val="0"/>
                <w:sz w:val="22"/>
              </w:rPr>
              <w:t>Light</w:t>
            </w:r>
          </w:p>
        </w:tc>
        <w:tc>
          <w:tcPr>
            <w:tcW w:type="dxa" w:w="5083"/>
            <w:vAlign w:val="center"/>
            <w:shd w:fill="FFFFFF"/>
          </w:tcPr>
          <w:p>
            <w:pPr>
              <w:spacing w:after="60"/>
            </w:pPr>
            <w:r>
              <w:rPr>
                <w:b w:val="0"/>
                <w:i w:val="0"/>
                <w:sz w:val="22"/>
              </w:rPr>
              <w:t>Usually shade or partial shade; some populations occur at brighter forest margins.</w:t>
            </w:r>
          </w:p>
        </w:tc>
      </w:tr>
      <w:tr>
        <w:trPr>
          <w:cantSplit/>
        </w:trPr>
        <w:tc>
          <w:tcPr>
            <w:tcW w:type="dxa" w:w="5083"/>
            <w:vAlign w:val="center"/>
            <w:shd w:fill="FFFFFF"/>
          </w:tcPr>
          <w:p>
            <w:pPr>
              <w:spacing w:after="60"/>
            </w:pPr>
            <w:r>
              <w:rPr>
                <w:b/>
                <w:i w:val="0"/>
                <w:sz w:val="22"/>
              </w:rPr>
              <w:t>Soils</w:t>
            </w:r>
          </w:p>
        </w:tc>
        <w:tc>
          <w:tcPr>
            <w:tcW w:type="dxa" w:w="5083"/>
            <w:vAlign w:val="center"/>
            <w:shd w:fill="FFFFFF"/>
          </w:tcPr>
          <w:p>
            <w:pPr>
              <w:spacing w:after="60"/>
            </w:pPr>
            <w:r>
              <w:rPr>
                <w:b w:val="0"/>
                <w:i w:val="0"/>
                <w:sz w:val="22"/>
              </w:rPr>
              <w:t>Often litter-rich loam, generally slightly acidic; parent rock includes sandstone, shale, dolerite and granite.</w:t>
            </w:r>
          </w:p>
        </w:tc>
      </w:tr>
      <w:tr>
        <w:trPr>
          <w:cantSplit/>
        </w:trPr>
        <w:tc>
          <w:tcPr>
            <w:tcW w:type="dxa" w:w="5083"/>
            <w:vAlign w:val="center"/>
            <w:shd w:fill="FFFFFF"/>
          </w:tcPr>
          <w:p>
            <w:pPr>
              <w:spacing w:after="60"/>
            </w:pPr>
            <w:r>
              <w:rPr>
                <w:b/>
                <w:i w:val="0"/>
                <w:sz w:val="22"/>
              </w:rPr>
              <w:t>Seasonality</w:t>
            </w:r>
          </w:p>
        </w:tc>
        <w:tc>
          <w:tcPr>
            <w:tcW w:type="dxa" w:w="5083"/>
            <w:vAlign w:val="center"/>
            <w:shd w:fill="FFFFFF"/>
          </w:tcPr>
          <w:p>
            <w:pPr>
              <w:spacing w:after="60"/>
            </w:pPr>
            <w:r>
              <w:rPr>
                <w:b w:val="0"/>
                <w:i w:val="0"/>
                <w:sz w:val="22"/>
              </w:rPr>
              <w:t>Most eastern sites receive spring–summer rain; Western Cape sites can also receive winter rain. Winters may be seasonally dry.</w:t>
            </w:r>
          </w:p>
        </w:tc>
      </w:tr>
    </w:tbl>
    <w:p>
      <w:pPr>
        <w:spacing w:after="20"/>
      </w:pPr>
    </w:p>
    <w:p>
      <w:pPr>
        <w:pStyle w:val="Heading2"/>
      </w:pPr>
      <w:r>
        <w:t>ENVIRONMENTAL VARIATION ACROSS THE RANGE</w:t>
      </w:r>
    </w:p>
    <w:p>
      <w:r>
        <w:rPr>
          <w:b/>
          <w:i w:val="0"/>
        </w:rPr>
        <w:t xml:space="preserve">West → east/northeast: </w:t>
      </w:r>
      <w:r>
        <w:t>Cape populations encounter a different rainfall seasonality from the wetter eastern river valleys, forest and gorge systems. Farther northeast the species reaches montane and subtropical forests. Across this variation, protected microsites with shade, drainage and seasonal moisture recur.</w:t>
      </w:r>
    </w:p>
    <w:p>
      <w:pPr>
        <w:pStyle w:val="Heading2"/>
      </w:pPr>
      <w:r>
        <w:t>THE HABITAT IN PICTURES</w:t>
      </w:r>
    </w:p>
    <w:p>
      <w:pPr>
        <w:pStyle w:val="Heading2"/>
      </w:pPr>
      <w:r>
        <w:t>ECOLOGICAL ADAPTATIONS</w:t>
      </w:r>
    </w:p>
    <w:p>
      <w:r>
        <w:rPr>
          <w:b/>
          <w:i w:val="0"/>
        </w:rPr>
        <w:t xml:space="preserve">• </w:t>
      </w:r>
      <w:r>
        <w:t>Fleshy roots store water and improve survival through seasonal dry spells.</w:t>
      </w:r>
    </w:p>
    <w:p>
      <w:r>
        <w:rPr>
          <w:b/>
          <w:i w:val="0"/>
        </w:rPr>
        <w:t xml:space="preserve">• </w:t>
      </w:r>
      <w:r>
        <w:t>Long inflorescences produce plantlets that root when they touch suitable moist ground, allowing rapid vegetative spread.</w:t>
      </w:r>
    </w:p>
    <w:p>
      <w:r>
        <w:rPr>
          <w:b/>
          <w:i w:val="0"/>
        </w:rPr>
        <w:t xml:space="preserve">• </w:t>
      </w:r>
      <w:r>
        <w:t>Small white flowers are insect-pollinated; seed capsules mature later in the growing season.</w:t>
      </w:r>
    </w:p>
    <w:p>
      <w:r>
        <w:rPr>
          <w:b/>
          <w:i w:val="0"/>
        </w:rPr>
        <w:t xml:space="preserve">• </w:t>
      </w:r>
      <w:r>
        <w:t>Local populations occupy strikingly different microsites—from deep forest floor and riverine thicket to dune forest, cliffs and moist grassland.</w:t>
      </w:r>
    </w:p>
    <w:p>
      <w:pPr>
        <w:pStyle w:val="Heading2"/>
      </w:pPr>
      <w:r>
        <w:t>WHY THIS MATTERS IN THE HOUSE</w:t>
      </w:r>
    </w:p>
    <w:p>
      <w:r>
        <w:rPr>
          <w:b/>
          <w:i w:val="0"/>
        </w:rPr>
        <w:t xml:space="preserve">Copy the native microsite. </w:t>
      </w:r>
      <w:r>
        <w:t>Bright filtered light, a freely draining but organic potting mix, thorough watering followed by partial drying, and avoidance of chronic saturation reproduce the ecological pattern better than treating spider plant as either a swamp plant or a desert succulent.</w:t>
      </w:r>
    </w:p>
    <w:p>
      <w:pPr>
        <w:pStyle w:val="Heading2"/>
      </w:pPr>
      <w:r>
        <w:t>Sources</w:t>
      </w:r>
    </w:p>
    <w:p>
      <w:r>
        <w:rPr>
          <w:b w:val="0"/>
          <w:i w:val="0"/>
        </w:rPr>
        <w:t>SANBI PlantZAfrica — Chlorophytum comosum: distribution, habitat and ecology.</w:t>
      </w:r>
    </w:p>
    <w:p>
      <w:r>
        <w:rPr>
          <w:b w:val="0"/>
          <w:i w:val="0"/>
        </w:rPr>
        <w:t>SANBI Biodiversity Advisor — Chlorophytum comosum: habitat descriptions and specimen records.</w:t>
      </w:r>
    </w:p>
    <w:p>
      <w:r>
        <w:rPr>
          <w:b w:val="0"/>
          <w:i w:val="0"/>
        </w:rPr>
        <w:t>Kew Science, Plants of the World Online — accepted taxonomy and broader African native range.</w:t>
      </w:r>
    </w:p>
    <w:p>
      <w:r>
        <w:rPr>
          <w:b w:val="0"/>
          <w:i w:val="0"/>
        </w:rPr>
        <w:t>Photographs: iNaturalist search result; Karkloof Nature Reserve/Nicola Ann Art; Nature Back In, KwaZulu-Natal mistbelt forest–grassland.</w:t>
      </w:r>
    </w:p>
    <w:p>
      <w:pPr>
        <w:pStyle w:val="Heading2"/>
      </w:pPr>
      <w:r>
        <w:t>Native status, spread and safety</w:t>
      </w:r>
    </w:p>
    <w:tbl>
      <w:tblPr>
        <w:tblW w:type="auto" w:w="0"/>
        <w:jc w:val="center"/>
        <w:tblLayout w:type="autofit"/>
        <w:tblLook w:firstColumn="1" w:firstRow="1" w:lastColumn="0" w:lastRow="0" w:noHBand="0" w:noVBand="1" w:val="04A0"/>
      </w:tblPr>
      <w:tblGrid>
        <w:gridCol w:w="5083"/>
        <w:gridCol w:w="5083"/>
      </w:tblGrid>
      <w:tr>
        <w:trPr>
          <w:cantSplit/>
          <w:tblHeader w:val="true"/>
        </w:trPr>
        <w:tc>
          <w:tcPr>
            <w:tcW w:type="dxa" w:w="5083"/>
            <w:vAlign w:val="center"/>
            <w:shd w:fill="E9EDF0"/>
          </w:tcPr>
          <w:p>
            <w:pPr>
              <w:spacing w:after="60"/>
            </w:pPr>
            <w:r>
              <w:rPr>
                <w:b/>
                <w:i w:val="0"/>
                <w:sz w:val="22"/>
              </w:rPr>
              <w:t>Field</w:t>
            </w:r>
          </w:p>
        </w:tc>
        <w:tc>
          <w:tcPr>
            <w:tcW w:type="dxa" w:w="5083"/>
            <w:vAlign w:val="center"/>
            <w:shd w:fill="E9EDF0"/>
          </w:tcPr>
          <w:p>
            <w:pPr>
              <w:spacing w:after="60"/>
            </w:pPr>
            <w:r>
              <w:rPr>
                <w:b/>
                <w:i w:val="0"/>
                <w:sz w:val="22"/>
              </w:rPr>
              <w:t>Status</w:t>
            </w:r>
          </w:p>
        </w:tc>
      </w:tr>
      <w:tr>
        <w:trPr>
          <w:cantSplit/>
        </w:trPr>
        <w:tc>
          <w:tcPr>
            <w:tcW w:type="dxa" w:w="5083"/>
            <w:vAlign w:val="center"/>
            <w:shd w:fill="FFFFFF"/>
          </w:tcPr>
          <w:p>
            <w:pPr>
              <w:spacing w:after="60"/>
            </w:pPr>
            <w:r>
              <w:rPr>
                <w:b/>
                <w:i w:val="0"/>
                <w:sz w:val="22"/>
              </w:rPr>
              <w:t>Native to Tippecanoe County, Indiana</w:t>
            </w:r>
          </w:p>
        </w:tc>
        <w:tc>
          <w:tcPr>
            <w:tcW w:type="dxa" w:w="5083"/>
            <w:vAlign w:val="center"/>
            <w:shd w:fill="FFFFFF"/>
          </w:tcPr>
          <w:p>
            <w:pPr>
              <w:spacing w:after="60"/>
            </w:pPr>
            <w:r>
              <w:rPr>
                <w:b w:val="0"/>
                <w:i w:val="0"/>
                <w:sz w:val="22"/>
              </w:rPr>
              <w:t>No. The plant’s native range is outside Indiana.</w:t>
            </w:r>
          </w:p>
        </w:tc>
      </w:tr>
      <w:tr>
        <w:trPr>
          <w:cantSplit/>
        </w:trPr>
        <w:tc>
          <w:tcPr>
            <w:tcW w:type="dxa" w:w="5083"/>
            <w:vAlign w:val="center"/>
            <w:shd w:fill="FFFFFF"/>
          </w:tcPr>
          <w:p>
            <w:pPr>
              <w:spacing w:after="60"/>
            </w:pPr>
            <w:r>
              <w:rPr>
                <w:b/>
                <w:i w:val="0"/>
                <w:sz w:val="22"/>
              </w:rPr>
              <w:t>Native to the United States</w:t>
            </w:r>
          </w:p>
        </w:tc>
        <w:tc>
          <w:tcPr>
            <w:tcW w:type="dxa" w:w="5083"/>
            <w:vAlign w:val="center"/>
            <w:shd w:fill="FFFFFF"/>
          </w:tcPr>
          <w:p>
            <w:pPr>
              <w:spacing w:after="60"/>
            </w:pPr>
            <w:r>
              <w:rPr>
                <w:b w:val="0"/>
                <w:i w:val="0"/>
                <w:sz w:val="22"/>
              </w:rPr>
              <w:t>No.</w:t>
            </w:r>
          </w:p>
        </w:tc>
      </w:tr>
      <w:tr>
        <w:trPr>
          <w:cantSplit/>
        </w:trPr>
        <w:tc>
          <w:tcPr>
            <w:tcW w:type="dxa" w:w="5083"/>
            <w:vAlign w:val="center"/>
            <w:shd w:fill="FFFFFF"/>
          </w:tcPr>
          <w:p>
            <w:pPr>
              <w:spacing w:after="60"/>
            </w:pPr>
            <w:r>
              <w:rPr>
                <w:b/>
                <w:i w:val="0"/>
                <w:sz w:val="22"/>
              </w:rPr>
              <w:t>Invasive status</w:t>
            </w:r>
          </w:p>
        </w:tc>
        <w:tc>
          <w:tcPr>
            <w:tcW w:type="dxa" w:w="5083"/>
            <w:vAlign w:val="center"/>
            <w:shd w:fill="FFFFFF"/>
          </w:tcPr>
          <w:p>
            <w:pPr>
              <w:spacing w:after="60"/>
            </w:pPr>
            <w:r>
              <w:rPr>
                <w:b w:val="0"/>
                <w:i w:val="0"/>
                <w:sz w:val="22"/>
              </w:rPr>
              <w:t>No Indiana invasive designation established by this revision. Frost-sensitive container culture does not establish its status in other climates.</w:t>
            </w:r>
          </w:p>
        </w:tc>
      </w:tr>
      <w:tr>
        <w:trPr>
          <w:cantSplit/>
        </w:trPr>
        <w:tc>
          <w:tcPr>
            <w:tcW w:type="dxa" w:w="5083"/>
            <w:vAlign w:val="center"/>
            <w:shd w:fill="FFFFFF"/>
          </w:tcPr>
          <w:p>
            <w:pPr>
              <w:spacing w:after="60"/>
            </w:pPr>
            <w:r>
              <w:rPr>
                <w:b/>
                <w:i w:val="0"/>
                <w:sz w:val="22"/>
              </w:rPr>
              <w:t>Self-seeding</w:t>
            </w:r>
          </w:p>
        </w:tc>
        <w:tc>
          <w:tcPr>
            <w:tcW w:type="dxa" w:w="5083"/>
            <w:vAlign w:val="center"/>
            <w:shd w:fill="FFFFFF"/>
          </w:tcPr>
          <w:p>
            <w:pPr>
              <w:spacing w:after="60"/>
            </w:pPr>
            <w:r>
              <w:rPr>
                <w:b w:val="0"/>
                <w:i w:val="0"/>
                <w:sz w:val="22"/>
              </w:rPr>
              <w:t>Limited; flowering, pollination and seedling conditions must all be suitable. Vegetative propagation is more dependable in ordinary home culture.</w:t>
            </w:r>
          </w:p>
        </w:tc>
      </w:tr>
      <w:tr>
        <w:trPr>
          <w:cantSplit/>
        </w:trPr>
        <w:tc>
          <w:tcPr>
            <w:tcW w:type="dxa" w:w="5083"/>
            <w:vAlign w:val="center"/>
            <w:shd w:fill="FFFFFF"/>
          </w:tcPr>
          <w:p>
            <w:pPr>
              <w:spacing w:after="60"/>
            </w:pPr>
            <w:r>
              <w:rPr>
                <w:b/>
                <w:i w:val="0"/>
                <w:sz w:val="22"/>
              </w:rPr>
              <w:t>Edibility and cautions</w:t>
            </w:r>
          </w:p>
        </w:tc>
        <w:tc>
          <w:tcPr>
            <w:tcW w:type="dxa" w:w="5083"/>
            <w:vAlign w:val="center"/>
            <w:shd w:fill="FFFFFF"/>
          </w:tcPr>
          <w:p>
            <w:pPr>
              <w:spacing w:after="60"/>
            </w:pPr>
            <w:r>
              <w:rPr>
                <w:b w:val="0"/>
                <w:i w:val="0"/>
                <w:sz w:val="22"/>
              </w:rPr>
              <w:t>No food use established here. Do not eat ornamental plants or equate a non-toxic classification with edibility.</w:t>
            </w:r>
          </w:p>
        </w:tc>
      </w:tr>
    </w:tbl>
    <w:p>
      <w:pPr>
        <w:spacing w:after="20"/>
      </w:pPr>
    </w:p>
    <w:p>
      <w:r>
        <w:rPr>
          <w:b w:val="0"/>
          <w:i/>
        </w:rPr>
        <w:t>To understand the care of a plant, understand its native climate and environment.</w:t>
      </w:r>
    </w:p>
    <w:p>
      <w:pPr>
        <w:pStyle w:val="Heading2"/>
      </w:pPr>
      <w:r>
        <w:t>Current Standard mix</w:t>
      </w:r>
    </w:p>
    <w:p>
      <w:r>
        <w:rPr>
          <w:b w:val="0"/>
          <w:i w:val="0"/>
        </w:rPr>
        <w:t>Tropical Foliage Standard Mix: 1 part generic potting soil + 1 part coarse perlite, by volume.</w:t>
      </w:r>
    </w:p>
    <w:p>
      <w:r>
        <w:rPr>
          <w:b w:val="0"/>
          <w:i w:val="0"/>
        </w:rPr>
        <w:t>Mix by volume without compression and keep the drainage hole open. Match watering to the species and root-zone drying. These are container recipes, not replacements for outdoor bed soil.</w:t>
      </w:r>
    </w:p>
    <w:p>
      <w:pPr>
        <w:pStyle w:val="Heading2"/>
      </w:pPr>
      <w:r>
        <w:t>Flowering, feeding and propagation</w:t>
      </w:r>
    </w:p>
    <w:p>
      <w:r>
        <w:rPr>
          <w:b w:val="0"/>
          <w:i w:val="0"/>
        </w:rPr>
        <w:t>Small white flowers occur on long stems that also bear plantlets. Root a plantlet while attached or divide an established clump. Feed lightly during active growth according to the fertilizer label; excessive feeding can reduce plantlet production. Provide bright filtered light, warmth and drainage, with partial drying between thorough waterings.</w:t>
      </w:r>
    </w:p>
    <w:p>
      <w:hyperlink r:id="rId12">
        <w:r>
          <w:rPr>
            <w:color w:val="245B43"/>
            <w:u w:val="single"/>
          </w:rPr>
          <w:t>NC State Extension — chlorophytum comosum</w:t>
        </w:r>
      </w:hyperlink>
    </w:p>
    <w:p>
      <w:r>
        <w:rPr>
          <w:b w:val="0"/>
          <w:i w:val="0"/>
        </w:rPr>
        <w:t xml:space="preserve">Added September 22, 2026 · </w:t>
      </w:r>
      <w:hyperlink r:id="rId13">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4">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spider-plant/" TargetMode="External"/><Relationship Id="rId12" Type="http://schemas.openxmlformats.org/officeDocument/2006/relationships/hyperlink" Target="https://plants.ces.ncsu.edu/plants/chlorophytum-comosum/" TargetMode="External"/><Relationship Id="rId13" Type="http://schemas.openxmlformats.org/officeDocument/2006/relationships/hyperlink" Target="https://planteducationproject.com/information-sheets/master-index/" TargetMode="External"/><Relationship Id="rId14" Type="http://schemas.openxmlformats.org/officeDocument/2006/relationships/hyperlink" Target="https://creativecommons.org/licenses/by-nc/4.0/" TargetMode="External"/><Relationship Id="rId15" Type="http://schemas.openxmlformats.org/officeDocument/2006/relationships/hyperlink" Target="https://planteducationproject.com/spider-plant/environ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spider plant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