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Sensitive Plant</w:t>
      </w:r>
    </w:p>
    <w:p>
      <w:pPr>
        <w:spacing w:after="320"/>
      </w:pPr>
      <w:r>
        <w:t>Combined Information Sheets</w:t>
      </w:r>
    </w:p>
    <w:p>
      <w:pPr>
        <w:pStyle w:val="Heading1"/>
      </w:pPr>
      <w:r>
        <w:t>Sensitive Plant</w:t>
      </w:r>
    </w:p>
    <w:p>
      <w:r>
        <w:rPr>
          <w:b/>
        </w:rPr>
        <w:t xml:space="preserve">Online Information Sheet: </w:t>
      </w:r>
      <w:hyperlink r:id="rId11">
        <w:r>
          <w:rPr>
            <w:color w:val="245B43"/>
            <w:u w:val="single"/>
          </w:rPr>
          <w:t>planteducationproject.com/sensitive-plant/</w:t>
        </w:r>
      </w:hyperlink>
    </w:p>
    <w:p>
      <w:r>
        <w:rPr>
          <w:b w:val="0"/>
          <w:i w:val="0"/>
        </w:rPr>
        <w:t>🌿 Plant Information Sheet</w:t>
      </w:r>
    </w:p>
    <w:p>
      <w:pPr>
        <w:jc w:val="center"/>
      </w:pPr>
      <w:r>
        <w:drawing>
          <wp:inline xmlns:a="http://schemas.openxmlformats.org/drawingml/2006/main" xmlns:pic="http://schemas.openxmlformats.org/drawingml/2006/picture">
            <wp:extent cx="5120640" cy="9099685"/>
            <wp:docPr id="1" name="Picture 1"/>
            <wp:cNvGraphicFramePr>
              <a:graphicFrameLocks noChangeAspect="1"/>
            </wp:cNvGraphicFramePr>
            <a:graphic>
              <a:graphicData uri="http://schemas.openxmlformats.org/drawingml/2006/picture">
                <pic:pic>
                  <pic:nvPicPr>
                    <pic:cNvPr id="0" name="bc54d0e970d38d709f3a035f.jpg"/>
                    <pic:cNvPicPr/>
                  </pic:nvPicPr>
                  <pic:blipFill>
                    <a:blip r:embed="rId12"/>
                    <a:stretch>
                      <a:fillRect/>
                    </a:stretch>
                  </pic:blipFill>
                  <pic:spPr>
                    <a:xfrm>
                      <a:off x="0" y="0"/>
                      <a:ext cx="5120640" cy="9099685"/>
                    </a:xfrm>
                    <a:prstGeom prst="rect"/>
                  </pic:spPr>
                </pic:pic>
              </a:graphicData>
            </a:graphic>
          </wp:inline>
        </w:drawing>
      </w:r>
    </w:p>
    <w:p>
      <w:pPr>
        <w:pStyle w:val="Caption"/>
      </w:pPr>
      <w:r>
        <w:rPr>
          <w:b w:val="0"/>
          <w:i w:val="0"/>
        </w:rPr>
        <w:t>Sensitive plant foliage with spent flower heads, Santa Catarina, Brazil, 2025-02-08. This view shows foliage rather than open flowers. Photo: Andrii Khokhlov. Source · License · Uncropped; sized for the page.</w:t>
      </w:r>
      <w:r>
        <w:br/>
      </w:r>
      <w:r>
        <w:t xml:space="preserve">Photograph: Andrii Khokhlov · </w:t>
      </w:r>
      <w:hyperlink r:id="rId13">
        <w:r>
          <w:rPr>
            <w:color w:val="245B43"/>
            <w:u w:val="single"/>
          </w:rPr>
          <w:t>Original source</w:t>
        </w:r>
      </w:hyperlink>
      <w:r>
        <w:t xml:space="preserve"> · </w:t>
      </w:r>
      <w:hyperlink r:id="rId14">
        <w:r>
          <w:rPr>
            <w:color w:val="245B43"/>
            <w:u w:val="single"/>
          </w:rPr>
          <w:t>Creative Commons license</w:t>
        </w:r>
      </w:hyperlink>
      <w:r>
        <w:t>. Resized proportionally.</w:t>
      </w:r>
    </w:p>
    <w:p>
      <w:r>
        <w:rPr>
          <w:b w:val="0"/>
          <w:i w:val="0"/>
        </w:rPr>
        <w:t>This small, often sprawling tropical legume folds its leaflets when disturbed. Its movement is a physiological response involving electrical signals, calcium signaling, and water movement in specialized leaf joints; it is not evidence that the plant has animal nerves.</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U.S. native</w:t>
            </w:r>
          </w:p>
        </w:tc>
        <w:tc>
          <w:tcPr>
            <w:tcW w:type="dxa" w:w="5083"/>
            <w:vAlign w:val="center"/>
            <w:shd w:fill="FFFFFF"/>
          </w:tcPr>
          <w:p>
            <w:pPr>
              <w:spacing w:after="60"/>
            </w:pPr>
            <w:r>
              <w:rPr>
                <w:b w:val="0"/>
                <w:i w:val="0"/>
                <w:sz w:val="22"/>
              </w:rPr>
              <w:t>No in the 50 states; native in Puerto Rico, a U.S. territory, according to Kew. Florida and Hawaii occurrences are introduced.</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 tropical American origin.</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An invasive weed in several tropical regions. Contain seeds and plant waste.</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Yes, where viable seed reaches favorable warm conditions.</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 food use recommended; plant parts contain mimosine.</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Prickles can injure skin. Keep away from children and pets; do not use it as a home remedy.</w:t>
            </w:r>
          </w:p>
        </w:tc>
      </w:tr>
    </w:tbl>
    <w:p>
      <w:pPr>
        <w:spacing w:after="20"/>
      </w:pPr>
    </w:p>
    <w:p>
      <w:pPr>
        <w:pStyle w:val="Heading2"/>
      </w:pPr>
      <w:r>
        <w:t>Identification and light</w:t>
      </w:r>
    </w:p>
    <w:p>
      <w:r>
        <w:rPr>
          <w:b w:val="0"/>
          <w:i w:val="0"/>
        </w:rPr>
        <w:t>Look for finely divided leaves, prickly stems, and pink spherical flower heads. Give bright light; this is not a deep-shade plant.</w:t>
      </w:r>
    </w:p>
    <w:p>
      <w:pPr>
        <w:pStyle w:val="Heading2"/>
      </w:pPr>
      <w:r>
        <w:t>Standard potting mix</w:t>
      </w:r>
    </w:p>
    <w:p>
      <w:r>
        <w:rPr>
          <w:b w:val="0"/>
          <w:i w:val="0"/>
        </w:rPr>
        <w:t>Use Standard Tropical Foliage Mix: 1 part generic potting soil and 1 part coarse perlite by volume. No added bark or coir. Blend evenly without compression, lightly premoisten dusty ingredients, and use a small container with a drainage hole. Do not add a gravel layer. This is the project’s container recipe, not a description of native mineral soil.</w:t>
      </w:r>
    </w:p>
    <w:p>
      <w:pPr>
        <w:pStyle w:val="Heading2"/>
      </w:pPr>
      <w:r>
        <w:t>Water, temperature, and feeding</w:t>
      </w:r>
    </w:p>
    <w:p>
      <w:r>
        <w:rPr>
          <w:b w:val="0"/>
          <w:i w:val="0"/>
        </w:rPr>
        <w:t>Keep warm and frost-free. Check the root zone before watering; avoid both complete prolonged drying and standing water. Apply a complete fertilizer only at the product’s labeled rate during active growth. If a plant is declining, correct its conditions before feeding.</w:t>
      </w:r>
    </w:p>
    <w:p>
      <w:pPr>
        <w:jc w:val="center"/>
      </w:pPr>
      <w:r>
        <w:drawing>
          <wp:inline xmlns:a="http://schemas.openxmlformats.org/drawingml/2006/main" xmlns:pic="http://schemas.openxmlformats.org/drawingml/2006/picture">
            <wp:extent cx="5120640" cy="3840480"/>
            <wp:docPr id="2" name="Picture 2"/>
            <wp:cNvGraphicFramePr>
              <a:graphicFrameLocks noChangeAspect="1"/>
            </wp:cNvGraphicFramePr>
            <a:graphic>
              <a:graphicData uri="http://schemas.openxmlformats.org/drawingml/2006/picture">
                <pic:pic>
                  <pic:nvPicPr>
                    <pic:cNvPr id="0" name="b7d1292f7201bb7f9ae50a03.jpg"/>
                    <pic:cNvPicPr/>
                  </pic:nvPicPr>
                  <pic:blipFill>
                    <a:blip r:embed="rId15"/>
                    <a:stretch>
                      <a:fillRect/>
                    </a:stretch>
                  </pic:blipFill>
                  <pic:spPr>
                    <a:xfrm>
                      <a:off x="0" y="0"/>
                      <a:ext cx="5120640" cy="3840480"/>
                    </a:xfrm>
                    <a:prstGeom prst="rect"/>
                  </pic:spPr>
                </pic:pic>
              </a:graphicData>
            </a:graphic>
          </wp:inline>
        </w:drawing>
      </w:r>
    </w:p>
    <w:p>
      <w:pPr>
        <w:pStyle w:val="Caption"/>
      </w:pPr>
      <w:r>
        <w:rPr>
          <w:b w:val="0"/>
          <w:i w:val="0"/>
        </w:rPr>
        <w:t>Mimosa pudica flower head, Rio de Janeiro, Brazil, 2026-02-08. Photo: Gabriel Jovêncio Ribeiro. Source · License · Uncropped; sized for the page.</w:t>
      </w:r>
      <w:r>
        <w:br/>
      </w:r>
      <w:r>
        <w:t xml:space="preserve">Photograph: Gabriel Jovêncio Ribeiro · </w:t>
      </w:r>
      <w:hyperlink r:id="rId16">
        <w:r>
          <w:rPr>
            <w:color w:val="245B43"/>
            <w:u w:val="single"/>
          </w:rPr>
          <w:t>Original source</w:t>
        </w:r>
      </w:hyperlink>
      <w:r>
        <w:t xml:space="preserve"> · </w:t>
      </w:r>
      <w:hyperlink r:id="rId14">
        <w:r>
          <w:rPr>
            <w:color w:val="245B43"/>
            <w:u w:val="single"/>
          </w:rPr>
          <w:t>Creative Commons license</w:t>
        </w:r>
      </w:hyperlink>
      <w:r>
        <w:t>. Resized proportionally.</w:t>
      </w:r>
    </w:p>
    <w:p>
      <w:pPr>
        <w:pStyle w:val="Heading2"/>
      </w:pPr>
      <w:r>
        <w:t>Flowering and propagation</w:t>
      </w:r>
    </w:p>
    <w:p>
      <w:r>
        <w:rPr>
          <w:b w:val="0"/>
          <w:i w:val="0"/>
        </w:rPr>
        <w:t>Pink flower heads can produce bristly pods that cling to clothing or animals. Propagate from seed in a warm, clean, freely draining medium. Follow the seed supplier’s pretreatment instructions; do not improvise boiling-water treatment. Remove pods before seed dispersal when containment matters.</w:t>
      </w:r>
    </w:p>
    <w:p>
      <w:pPr>
        <w:pStyle w:val="Heading2"/>
      </w:pPr>
      <w:r>
        <w:t>Watch germination</w:t>
      </w:r>
    </w:p>
    <w:p>
      <w:r>
        <w:rPr>
          <w:b w:val="0"/>
          <w:i w:val="0"/>
        </w:rPr>
        <w:t>Watch Mimosa pudica progress from seed and sprout to leafy growth and flowers. The film lasts about 3 minutes 52 seconds.</w:t>
      </w:r>
    </w:p>
    <w:p>
      <w:hyperlink r:id="rId17">
        <w:r>
          <w:rPr>
            <w:color w:val="245B43"/>
            <w:u w:val="single"/>
          </w:rPr>
          <w:t>Watch the germination time-lapse</w:t>
        </w:r>
      </w:hyperlink>
    </w:p>
    <w:p>
      <w:r>
        <w:rPr>
          <w:b w:val="0"/>
          <w:i w:val="0"/>
        </w:rPr>
        <w:t>Growing Sensitive Shame Plant Time Lapse (Seed to Flower in 120 Days)</w:t>
      </w:r>
      <w:r>
        <w:br/>
      </w:r>
      <w:r>
        <w:t>Creator: eLapse. Link checked 2026-09-21.</w:t>
      </w:r>
    </w:p>
    <w:p>
      <w:r>
        <w:rPr>
          <w:b w:val="0"/>
          <w:i w:val="0"/>
        </w:rPr>
        <w:t>The title describes a 120-day growth sequence, not a 120-day germination period. Filming conditions affect growth; a time-lapse alone does not establish whether light is required for germination.</w:t>
      </w:r>
    </w:p>
    <w:p>
      <w:pPr>
        <w:pStyle w:val="Heading2"/>
      </w:pPr>
      <w:r>
        <w:t>Grooming and observation</w:t>
      </w:r>
    </w:p>
    <w:p>
      <w:r>
        <w:rPr>
          <w:b w:val="0"/>
          <w:i w:val="0"/>
        </w:rPr>
        <w:t>Trim damaged growth using gloves and clean tools. Observe one gentle touch, then allow the plant to reopen; repeatedly triggering closure reduces time with leaves exposed to light. Record watering and light changes when troubleshooting rather than using leaf closure alone as a moisture meter.</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e4562bd13b1a4c97fa58637c.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Mimosa pudica among grasses and dry stems, Maranhão, Brazil, 2026-07-04. Field observation within the species’ native region; site planting history is not supplied. Photo: zebedeugalinha. Source · License · Uncropped; sized for the page.</w:t>
      </w:r>
      <w:r>
        <w:br/>
      </w:r>
      <w:r>
        <w:t xml:space="preserve">Photograph: zebedeugalinha · </w:t>
      </w:r>
      <w:hyperlink r:id="rId19">
        <w:r>
          <w:rPr>
            <w:color w:val="245B43"/>
            <w:u w:val="single"/>
          </w:rPr>
          <w:t>Original source</w:t>
        </w:r>
      </w:hyperlink>
      <w:r>
        <w:t xml:space="preserve"> · </w:t>
      </w:r>
      <w:hyperlink r:id="rId14">
        <w:r>
          <w:rPr>
            <w:color w:val="245B43"/>
            <w:u w:val="single"/>
          </w:rPr>
          <w:t>Creative Commons license</w:t>
        </w:r>
      </w:hyperlink>
      <w:r>
        <w:t>. Resized proportionally.</w:t>
      </w:r>
    </w:p>
    <w:p>
      <w:pPr>
        <w:jc w:val="center"/>
      </w:pPr>
      <w:r>
        <w:drawing>
          <wp:inline xmlns:a="http://schemas.openxmlformats.org/drawingml/2006/main" xmlns:pic="http://schemas.openxmlformats.org/drawingml/2006/picture">
            <wp:extent cx="5120640" cy="9099685"/>
            <wp:docPr id="4" name="Picture 4"/>
            <wp:cNvGraphicFramePr>
              <a:graphicFrameLocks noChangeAspect="1"/>
            </wp:cNvGraphicFramePr>
            <a:graphic>
              <a:graphicData uri="http://schemas.openxmlformats.org/drawingml/2006/picture">
                <pic:pic>
                  <pic:nvPicPr>
                    <pic:cNvPr id="0" name="677b8944ae28abdfe0d36383.jpg"/>
                    <pic:cNvPicPr/>
                  </pic:nvPicPr>
                  <pic:blipFill>
                    <a:blip r:embed="rId20"/>
                    <a:stretch>
                      <a:fillRect/>
                    </a:stretch>
                  </pic:blipFill>
                  <pic:spPr>
                    <a:xfrm>
                      <a:off x="0" y="0"/>
                      <a:ext cx="5120640" cy="9099685"/>
                    </a:xfrm>
                    <a:prstGeom prst="rect"/>
                  </pic:spPr>
                </pic:pic>
              </a:graphicData>
            </a:graphic>
          </wp:inline>
        </w:drawing>
      </w:r>
    </w:p>
    <w:p>
      <w:pPr>
        <w:pStyle w:val="Caption"/>
      </w:pPr>
      <w:r>
        <w:rPr>
          <w:b w:val="0"/>
          <w:i w:val="0"/>
        </w:rPr>
        <w:t>Mimosa pudica in open verge vegetation, Santa Catarina, Brazil, 2025-02-08. A separate native-region field setting; exact establishment history is not recorded. Photo: Andrii Khokhlov. Source · License · Uncropped; sized for the page.</w:t>
      </w:r>
      <w:r>
        <w:br/>
      </w:r>
      <w:r>
        <w:t xml:space="preserve">Photograph: Andrii Khokhlov · </w:t>
      </w:r>
      <w:hyperlink r:id="rId21">
        <w:r>
          <w:rPr>
            <w:color w:val="245B43"/>
            <w:u w:val="single"/>
          </w:rPr>
          <w:t>Original source</w:t>
        </w:r>
      </w:hyperlink>
      <w:r>
        <w:t xml:space="preserve"> · </w:t>
      </w:r>
      <w:hyperlink r:id="rId14">
        <w:r>
          <w:rPr>
            <w:color w:val="245B43"/>
            <w:u w:val="single"/>
          </w:rPr>
          <w:t>Creative Commons license</w:t>
        </w:r>
      </w:hyperlink>
      <w:r>
        <w:t>. Resized proportionally.</w:t>
      </w:r>
    </w:p>
    <w:p>
      <w:pPr>
        <w:pStyle w:val="Heading2"/>
      </w:pPr>
      <w:r>
        <w:t>Environment / native habitat</w:t>
      </w:r>
    </w:p>
    <w:p>
      <w:r>
        <w:rPr>
          <w:b w:val="0"/>
          <w:i w:val="0"/>
        </w:rPr>
        <w:t>Native to tropical America and widely introduced elsewhere. It occupies open disturbed sites with adequate moisture and drainage. Frost sensitivity limits outdoor persistence in cold climates. Its invasive behavior elsewhere warrants containment even when grown as an Indiana houseplant.</w:t>
      </w:r>
    </w:p>
    <w:p>
      <w:pPr>
        <w:pStyle w:val="Heading2"/>
      </w:pPr>
      <w:r>
        <w:t>Seasonal care</w:t>
      </w:r>
    </w:p>
    <w:p>
      <w:r>
        <w:rPr>
          <w:b w:val="0"/>
          <w:i w:val="0"/>
        </w:rPr>
        <w:t>Grow indoors through cold weather or treat as a seasonal container subject. Prevent seeds and potting waste from entering natural areas. A short-lived plant can be replaced from contained seed rather than subjected to increasingly heavy fertilizer.</w:t>
      </w:r>
    </w:p>
    <w:p>
      <w:pPr>
        <w:pStyle w:val="Heading2"/>
      </w:pPr>
      <w:r>
        <w:t>Sources and further reading</w:t>
      </w:r>
    </w:p>
    <w:p>
      <w:hyperlink r:id="rId22">
        <w:r>
          <w:rPr>
            <w:color w:val="245B43"/>
            <w:u w:val="single"/>
          </w:rPr>
          <w:t>IUCN Global Invasive Species Database — Mimosa pudica</w:t>
        </w:r>
      </w:hyperlink>
    </w:p>
    <w:p>
      <w:hyperlink r:id="rId23">
        <w:r>
          <w:rPr>
            <w:color w:val="245B43"/>
            <w:u w:val="single"/>
          </w:rPr>
          <w:t>Hagihara et al., 2022 — Calcium-mediated rapid movements defend against herbivorous insects</w:t>
        </w:r>
      </w:hyperlink>
    </w:p>
    <w:p>
      <w:hyperlink r:id="rId24">
        <w:r>
          <w:rPr>
            <w:color w:val="245B43"/>
            <w:u w:val="single"/>
          </w:rPr>
          <w:t>Kew Plants of the World Online — Mimosa pudica native and introduced range</w:t>
        </w:r>
      </w:hyperlink>
    </w:p>
    <w:p>
      <w:r>
        <w:rPr>
          <w:b w:val="0"/>
          <w:i w:val="0"/>
        </w:rPr>
        <w:t xml:space="preserve">Added September 22, 2026 · </w:t>
      </w:r>
      <w:hyperlink r:id="rId25">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ensitive-plant/" TargetMode="External"/><Relationship Id="rId12" Type="http://schemas.openxmlformats.org/officeDocument/2006/relationships/image" Target="media/image1.jpg"/><Relationship Id="rId13" Type="http://schemas.openxmlformats.org/officeDocument/2006/relationships/hyperlink" Target="https://www.inaturalist.org/photos/468941561"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www.inaturalist.org/photos/614238724" TargetMode="External"/><Relationship Id="rId17" Type="http://schemas.openxmlformats.org/officeDocument/2006/relationships/hyperlink" Target="https://www.youtube.com/watch?v=7QiSAes_bTE" TargetMode="External"/><Relationship Id="rId18" Type="http://schemas.openxmlformats.org/officeDocument/2006/relationships/image" Target="media/image3.jpg"/><Relationship Id="rId19" Type="http://schemas.openxmlformats.org/officeDocument/2006/relationships/hyperlink" Target="https://www.inaturalist.org/photos/715769528" TargetMode="External"/><Relationship Id="rId20" Type="http://schemas.openxmlformats.org/officeDocument/2006/relationships/image" Target="media/image4.jpg"/><Relationship Id="rId21" Type="http://schemas.openxmlformats.org/officeDocument/2006/relationships/hyperlink" Target="https://www.inaturalist.org/photos/468941535" TargetMode="External"/><Relationship Id="rId22" Type="http://schemas.openxmlformats.org/officeDocument/2006/relationships/hyperlink" Target="https://www.iucngisd.org/gisd/species.php?sc=1002" TargetMode="External"/><Relationship Id="rId23" Type="http://schemas.openxmlformats.org/officeDocument/2006/relationships/hyperlink" Target="https://www.nature.com/articles/s41467-022-34106-x" TargetMode="External"/><Relationship Id="rId24" Type="http://schemas.openxmlformats.org/officeDocument/2006/relationships/hyperlink" Target="https://powo.science.kew.org/taxon/urn:lsid:ipni.org:names:313242-2" TargetMode="External"/><Relationship Id="rId25" Type="http://schemas.openxmlformats.org/officeDocument/2006/relationships/hyperlink" Target="https://planteducationproject.com/information-sheets/master-index/" TargetMode="External"/><Relationship Id="rId26"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sensitive plant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