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Rutabaga</w:t>
      </w:r>
    </w:p>
    <w:p>
      <w:pPr>
        <w:spacing w:after="320"/>
      </w:pPr>
      <w:r>
        <w:t>Combined Information Sheets</w:t>
      </w:r>
    </w:p>
    <w:p>
      <w:pPr>
        <w:pStyle w:val="Heading1"/>
      </w:pPr>
      <w:r>
        <w:t>Rutabaga</w:t>
      </w:r>
    </w:p>
    <w:p>
      <w:r>
        <w:rPr>
          <w:b/>
        </w:rPr>
        <w:t xml:space="preserve">Online Information Sheet: </w:t>
      </w:r>
      <w:hyperlink r:id="rId11">
        <w:r>
          <w:rPr>
            <w:color w:val="245B43"/>
            <w:u w:val="single"/>
          </w:rPr>
          <w:t>planteducationproject.com/rutabaga/</w:t>
        </w:r>
      </w:hyperlink>
    </w:p>
    <w:p>
      <w:r>
        <w:rPr>
          <w:b w:val="0"/>
          <w:i w:val="0"/>
        </w:rPr>
        <w:t>🌿 Plant Information Sheet</w:t>
      </w:r>
    </w:p>
    <w:p>
      <w:pPr>
        <w:jc w:val="center"/>
      </w:pPr>
      <w:r>
        <w:drawing>
          <wp:inline xmlns:a="http://schemas.openxmlformats.org/drawingml/2006/main" xmlns:pic="http://schemas.openxmlformats.org/drawingml/2006/picture">
            <wp:extent cx="5120640" cy="3695462"/>
            <wp:docPr id="1" name="Picture 1"/>
            <wp:cNvGraphicFramePr>
              <a:graphicFrameLocks noChangeAspect="1"/>
            </wp:cNvGraphicFramePr>
            <a:graphic>
              <a:graphicData uri="http://schemas.openxmlformats.org/drawingml/2006/picture">
                <pic:pic>
                  <pic:nvPicPr>
                    <pic:cNvPr id="0" name="cd12c335790f1c95e8cfc244.jpg"/>
                    <pic:cNvPicPr/>
                  </pic:nvPicPr>
                  <pic:blipFill>
                    <a:blip r:embed="rId12"/>
                    <a:stretch>
                      <a:fillRect/>
                    </a:stretch>
                  </pic:blipFill>
                  <pic:spPr>
                    <a:xfrm>
                      <a:off x="0" y="0"/>
                      <a:ext cx="5120640" cy="3695462"/>
                    </a:xfrm>
                    <a:prstGeom prst="rect"/>
                  </pic:spPr>
                </pic:pic>
              </a:graphicData>
            </a:graphic>
          </wp:inline>
        </w:drawing>
      </w:r>
    </w:p>
    <w:p>
      <w:pPr>
        <w:pStyle w:val="Caption"/>
      </w:pPr>
      <w:r>
        <w:rPr>
          <w:b w:val="0"/>
          <w:i w:val="0"/>
        </w:rPr>
        <w:t>Rutabaga foliage in a cultivated bed. Photo: DewyKohl40, CC BY-SA 2.0. Source · License · Uncropped; sized for the page.</w:t>
      </w:r>
      <w:r>
        <w:br/>
      </w:r>
      <w:r>
        <w:t xml:space="preserve">Photograph: DewyKohl40 · </w:t>
      </w:r>
      <w:hyperlink r:id="rId13">
        <w:r>
          <w:rPr>
            <w:color w:val="245B43"/>
            <w:u w:val="single"/>
          </w:rPr>
          <w:t>Original source</w:t>
        </w:r>
      </w:hyperlink>
      <w:r>
        <w:t xml:space="preserve"> · </w:t>
      </w:r>
      <w:hyperlink r:id="rId14">
        <w:r>
          <w:rPr>
            <w:color w:val="245B43"/>
            <w:u w:val="single"/>
          </w:rPr>
          <w:t>CC BY-SA 2.0</w:t>
        </w:r>
      </w:hyperlink>
      <w:r>
        <w:t>. Resized proportionally.</w:t>
      </w:r>
    </w:p>
    <w:p>
      <w:r>
        <w:rPr>
          <w:b w:val="0"/>
          <w:i w:val="0"/>
        </w:rPr>
        <w:t>Rutabaga is a cultivated cool-season crop grown mainly for its swollen edible root. It is a different crop from turnip (Brassica rapa), despite similar appearance and overlapping common names.</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U.S. native</w:t>
            </w:r>
          </w:p>
        </w:tc>
        <w:tc>
          <w:tcPr>
            <w:tcW w:type="dxa" w:w="5083"/>
            <w:vAlign w:val="center"/>
            <w:shd w:fill="FFFFFF"/>
          </w:tcPr>
          <w:p>
            <w:pPr>
              <w:spacing w:after="60"/>
            </w:pPr>
            <w:r>
              <w:rPr>
                <w:b w:val="0"/>
                <w:i w:val="0"/>
                <w:sz w:val="22"/>
              </w:rPr>
              <w:t>No; cultivated crop of Old World origin.</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No; a planted vegetable crop.</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Crop volunteers are possible; this sheet does not classify rutabaga as an Indiana invasive species.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plants must survive to flower and mature seed.</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Roots and young leaves are edible when correctly identified and handled as food.</w:t>
            </w:r>
          </w:p>
        </w:tc>
      </w:tr>
      <w:tr>
        <w:trPr>
          <w:cantSplit/>
        </w:trPr>
        <w:tc>
          <w:tcPr>
            <w:tcW w:type="dxa" w:w="5083"/>
            <w:vAlign w:val="center"/>
            <w:shd w:fill="FFFFFF"/>
          </w:tcPr>
          <w:p>
            <w:pPr>
              <w:spacing w:after="60"/>
            </w:pPr>
            <w:r>
              <w:rPr>
                <w:b/>
                <w:i w:val="0"/>
                <w:sz w:val="22"/>
              </w:rPr>
              <w:t>Cautions</w:t>
            </w:r>
          </w:p>
        </w:tc>
        <w:tc>
          <w:tcPr>
            <w:tcW w:type="dxa" w:w="5083"/>
            <w:vAlign w:val="center"/>
            <w:shd w:fill="FFFFFF"/>
          </w:tcPr>
          <w:p>
            <w:pPr>
              <w:spacing w:after="60"/>
            </w:pPr>
            <w:r>
              <w:rPr>
                <w:b w:val="0"/>
                <w:i w:val="0"/>
                <w:sz w:val="22"/>
              </w:rPr>
              <w:t>Follow pesticide labels for edible crops and harvest intervals. Do not use lawn weed-and-feed products.</w:t>
            </w:r>
          </w:p>
        </w:tc>
      </w:tr>
    </w:tbl>
    <w:p>
      <w:pPr>
        <w:spacing w:after="20"/>
      </w:pPr>
    </w:p>
    <w:p>
      <w:pPr>
        <w:pStyle w:val="Heading2"/>
      </w:pPr>
      <w:r>
        <w:t>Light, season, and spacing</w:t>
      </w:r>
    </w:p>
    <w:p>
      <w:r>
        <w:rPr>
          <w:b w:val="0"/>
          <w:i w:val="0"/>
        </w:rPr>
        <w:t>Use a sunny bed. Plan a summer sowing that matures in cool fall weather, using the cultivar’s days to maturity and local frost timing. Thin seedlings to about 8 inches apart; crowded roots remain small.</w:t>
      </w:r>
    </w:p>
    <w:p>
      <w:pPr>
        <w:pStyle w:val="Heading2"/>
      </w:pPr>
      <w:r>
        <w:t>Soil and Standard container mix</w:t>
      </w:r>
    </w:p>
    <w:p>
      <w:r>
        <w:rPr>
          <w:b w:val="0"/>
          <w:i w:val="0"/>
        </w:rPr>
        <w:t>Garden soil should be loose enough for root expansion and drain well. For a container crop harvested as baby vegetables, use Standard Herb and Vegetable Mix: 2 parts generic potting soil, 1 part compost-rich raised-bed or in-ground soil ingredient, and 1 part coarse perlite by volume. Blend loosely, use a drainage hole, and omit gravel at the bottom. Grow full-size roots in a garden bed; containers are best used for small, early-harvested roots.</w:t>
      </w:r>
    </w:p>
    <w:p>
      <w:pPr>
        <w:pStyle w:val="Heading2"/>
      </w:pPr>
      <w:r>
        <w:t>Water and feeding</w:t>
      </w:r>
    </w:p>
    <w:p>
      <w:r>
        <w:rPr>
          <w:b w:val="0"/>
          <w:i w:val="0"/>
        </w:rPr>
        <w:t>Maintain even moisture; roughly an inch of water per week is a starting point for garden soil, adjusted for rainfall and conditions. Test soil before fertilizer decisions. Excess nitrogen can favor leaves over roots; avoid fresh manure.</w:t>
      </w:r>
    </w:p>
    <w:p>
      <w:pPr>
        <w:jc w:val="center"/>
      </w:pPr>
      <w:r>
        <w:drawing>
          <wp:inline xmlns:a="http://schemas.openxmlformats.org/drawingml/2006/main" xmlns:pic="http://schemas.openxmlformats.org/drawingml/2006/picture">
            <wp:extent cx="5120640" cy="3840480"/>
            <wp:docPr id="2" name="Picture 2"/>
            <wp:cNvGraphicFramePr>
              <a:graphicFrameLocks noChangeAspect="1"/>
            </wp:cNvGraphicFramePr>
            <a:graphic>
              <a:graphicData uri="http://schemas.openxmlformats.org/drawingml/2006/picture">
                <pic:pic>
                  <pic:nvPicPr>
                    <pic:cNvPr id="0" name="6bab4437c510b51fa20ff3cc.jpg"/>
                    <pic:cNvPicPr/>
                  </pic:nvPicPr>
                  <pic:blipFill>
                    <a:blip r:embed="rId15"/>
                    <a:stretch>
                      <a:fillRect/>
                    </a:stretch>
                  </pic:blipFill>
                  <pic:spPr>
                    <a:xfrm>
                      <a:off x="0" y="0"/>
                      <a:ext cx="5120640" cy="3840480"/>
                    </a:xfrm>
                    <a:prstGeom prst="rect"/>
                  </pic:spPr>
                </pic:pic>
              </a:graphicData>
            </a:graphic>
          </wp:inline>
        </w:drawing>
      </w:r>
    </w:p>
    <w:p>
      <w:pPr>
        <w:pStyle w:val="Caption"/>
      </w:pPr>
      <w:r>
        <w:rPr>
          <w:b w:val="0"/>
          <w:i w:val="0"/>
        </w:rPr>
        <w:t>Rutabaga with elongated flowering stems in a labeled cultivated display. Yellow flowers are visible toward the tops of the stems. Photo: Pierre Andre Leclercq, CC BY-SA 4.0. Source · License · Uncropped; sized for the page.</w:t>
      </w:r>
      <w:r>
        <w:br/>
      </w:r>
      <w:r>
        <w:t xml:space="preserve">Photograph: Pierre Andre Leclercq · </w:t>
      </w:r>
      <w:hyperlink r:id="rId13">
        <w:r>
          <w:rPr>
            <w:color w:val="245B43"/>
            <w:u w:val="single"/>
          </w:rPr>
          <w:t>Original source</w:t>
        </w:r>
      </w:hyperlink>
      <w:r>
        <w:t xml:space="preserve"> · </w:t>
      </w:r>
      <w:hyperlink r:id="rId16">
        <w:r>
          <w:rPr>
            <w:color w:val="245B43"/>
            <w:u w:val="single"/>
          </w:rPr>
          <w:t>CC BY-SA 4.0</w:t>
        </w:r>
      </w:hyperlink>
      <w:r>
        <w:t>. Resized proportionally.</w:t>
      </w:r>
    </w:p>
    <w:p>
      <w:pPr>
        <w:pStyle w:val="Heading2"/>
      </w:pPr>
      <w:r>
        <w:t>Flowering and propagation</w:t>
      </w:r>
    </w:p>
    <w:p>
      <w:r>
        <w:rPr>
          <w:b w:val="0"/>
          <w:i w:val="0"/>
        </w:rPr>
        <w:t>Propagate the food crop by seed. Rutabaga normally grows vegetatively first and flowers after an appropriate cold period. Seed saving therefore differs from first-season root harvest and requires attention to compatible Brassica crops nearby.</w:t>
      </w:r>
    </w:p>
    <w:p>
      <w:pPr>
        <w:pStyle w:val="Heading2"/>
      </w:pPr>
      <w:r>
        <w:t>Grooming and troubleshooting</w:t>
      </w:r>
    </w:p>
    <w:p>
      <w:r>
        <w:rPr>
          <w:b w:val="0"/>
          <w:i w:val="0"/>
        </w:rPr>
        <w:t>Thin early and control weeds while small. Flea beetles, root maggots, and clubroot can reduce success. Rotate away from cabbage-family crops for several years, especially where disease occurred; diagnose before treatment.</w:t>
      </w:r>
    </w:p>
    <w:p>
      <w:pPr>
        <w:pStyle w:val="Heading2"/>
      </w:pPr>
      <w:r>
        <w:t>Environment / crop origin</w:t>
      </w:r>
    </w:p>
    <w:p>
      <w:r>
        <w:rPr>
          <w:b w:val="0"/>
          <w:i w:val="0"/>
        </w:rPr>
        <w:t>Rutabaga is a domesticated crop, so there is no single wild native habitat to reproduce. Cool-season growth, steady moisture, and a penetrable root zone are more useful care guides than treating it as a tropical houseplant.</w:t>
      </w:r>
    </w:p>
    <w:p>
      <w:pPr>
        <w:jc w:val="center"/>
      </w:pPr>
      <w:r>
        <w:drawing>
          <wp:inline xmlns:a="http://schemas.openxmlformats.org/drawingml/2006/main" xmlns:pic="http://schemas.openxmlformats.org/drawingml/2006/picture">
            <wp:extent cx="5120640" cy="3425428"/>
            <wp:docPr id="3" name="Picture 3"/>
            <wp:cNvGraphicFramePr>
              <a:graphicFrameLocks noChangeAspect="1"/>
            </wp:cNvGraphicFramePr>
            <a:graphic>
              <a:graphicData uri="http://schemas.openxmlformats.org/drawingml/2006/picture">
                <pic:pic>
                  <pic:nvPicPr>
                    <pic:cNvPr id="0" name="4d75539e90b1ef3910120ac1.jpg"/>
                    <pic:cNvPicPr/>
                  </pic:nvPicPr>
                  <pic:blipFill>
                    <a:blip r:embed="rId17"/>
                    <a:stretch>
                      <a:fillRect/>
                    </a:stretch>
                  </pic:blipFill>
                  <pic:spPr>
                    <a:xfrm>
                      <a:off x="0" y="0"/>
                      <a:ext cx="5120640" cy="3425428"/>
                    </a:xfrm>
                    <a:prstGeom prst="rect"/>
                  </pic:spPr>
                </pic:pic>
              </a:graphicData>
            </a:graphic>
          </wp:inline>
        </w:drawing>
      </w:r>
    </w:p>
    <w:p>
      <w:pPr>
        <w:pStyle w:val="Caption"/>
      </w:pPr>
      <w:r>
        <w:rPr>
          <w:b w:val="0"/>
          <w:i w:val="0"/>
        </w:rPr>
        <w:t>Harvested rutabaga roots with foliage. The swollen storage organ is not a botanical fruit. Photo: Johnathan Nightingale, CC BY-SA 2.0. Source · License · Uncropped; sized for the page.</w:t>
      </w:r>
      <w:r>
        <w:br/>
      </w:r>
      <w:r>
        <w:t xml:space="preserve">Photograph: Johnathan Nightingale · </w:t>
      </w:r>
      <w:hyperlink r:id="rId13">
        <w:r>
          <w:rPr>
            <w:color w:val="245B43"/>
            <w:u w:val="single"/>
          </w:rPr>
          <w:t>Original source</w:t>
        </w:r>
      </w:hyperlink>
      <w:r>
        <w:t xml:space="preserve"> · </w:t>
      </w:r>
      <w:hyperlink r:id="rId14">
        <w:r>
          <w:rPr>
            <w:color w:val="245B43"/>
            <w:u w:val="single"/>
          </w:rPr>
          <w:t>CC BY-SA 2.0</w:t>
        </w:r>
      </w:hyperlink>
      <w:r>
        <w:t>. Resized proportionally.</w:t>
      </w:r>
    </w:p>
    <w:p>
      <w:pPr>
        <w:pStyle w:val="Heading2"/>
      </w:pPr>
      <w:r>
        <w:t>Harvest and seasonal care</w:t>
      </w:r>
    </w:p>
    <w:p>
      <w:r>
        <w:rPr>
          <w:b w:val="0"/>
          <w:i w:val="0"/>
        </w:rPr>
        <w:t>Harvest when roots reach the cultivar’s usable size. Remove damaged roots from storage. For longer storage, use cool, humid conditions without freezing; keep clean food roots separate from seed stock and garden chemicals.</w:t>
      </w:r>
    </w:p>
    <w:p>
      <w:pPr>
        <w:pStyle w:val="Heading2"/>
      </w:pPr>
      <w:r>
        <w:t>Sources and further reading</w:t>
      </w:r>
    </w:p>
    <w:p>
      <w:hyperlink r:id="rId18">
        <w:r>
          <w:rPr>
            <w:color w:val="245B43"/>
            <w:u w:val="single"/>
          </w:rPr>
          <w:t>University of Minnesota Extension — Growing turnips and rutabagas</w:t>
        </w:r>
      </w:hyperlink>
    </w:p>
    <w:p>
      <w:hyperlink r:id="rId19">
        <w:r>
          <w:rPr>
            <w:color w:val="245B43"/>
            <w:u w:val="single"/>
          </w:rPr>
          <w:t>Royal Horticultural Society — How to grow swedes</w:t>
        </w:r>
      </w:hyperlink>
    </w:p>
    <w:p>
      <w:hyperlink r:id="rId13">
        <w:r>
          <w:rPr>
            <w:color w:val="245B43"/>
            <w:u w:val="single"/>
          </w:rPr>
          <w:t>NC State Extension — Rutabaga identification and photo credits</w:t>
        </w:r>
      </w:hyperlink>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rutabaga/" TargetMode="External"/><Relationship Id="rId12" Type="http://schemas.openxmlformats.org/officeDocument/2006/relationships/image" Target="media/image1.jpg"/><Relationship Id="rId13" Type="http://schemas.openxmlformats.org/officeDocument/2006/relationships/hyperlink" Target="https://plants.ces.ncsu.edu/plants/brassica-napus-napobrassica-group/" TargetMode="External"/><Relationship Id="rId14" Type="http://schemas.openxmlformats.org/officeDocument/2006/relationships/hyperlink" Target="https://creativecommons.org/licenses/by-sa/2.0/" TargetMode="External"/><Relationship Id="rId15" Type="http://schemas.openxmlformats.org/officeDocument/2006/relationships/image" Target="media/image2.jpg"/><Relationship Id="rId16" Type="http://schemas.openxmlformats.org/officeDocument/2006/relationships/hyperlink" Target="https://creativecommons.org/licenses/by-sa/4.0/" TargetMode="External"/><Relationship Id="rId17" Type="http://schemas.openxmlformats.org/officeDocument/2006/relationships/image" Target="media/image3.jpg"/><Relationship Id="rId18" Type="http://schemas.openxmlformats.org/officeDocument/2006/relationships/hyperlink" Target="https://extension.umn.edu/garden-and-home/yard-and-garden/gardening-in-minnesota/growing-turnips-and-rutabagas" TargetMode="External"/><Relationship Id="rId19" Type="http://schemas.openxmlformats.org/officeDocument/2006/relationships/hyperlink" Target="https://www.rhs.org.uk/vegetables/swede/grow-your-own" TargetMode="External"/><Relationship Id="rId20" Type="http://schemas.openxmlformats.org/officeDocument/2006/relationships/hyperlink" Target="https://planteducationproject.com/information-sheets/master-index/" TargetMode="External"/><Relationship Id="rId21"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rutabaga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