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Rubber Plant</w:t>
      </w:r>
    </w:p>
    <w:p>
      <w:pPr>
        <w:spacing w:after="320"/>
      </w:pPr>
      <w:r>
        <w:t>Combined Information Sheets</w:t>
      </w:r>
    </w:p>
    <w:p>
      <w:pPr>
        <w:pStyle w:val="Heading1"/>
      </w:pPr>
      <w:r>
        <w:t>Rubber Plant</w:t>
      </w:r>
    </w:p>
    <w:p>
      <w:r>
        <w:rPr>
          <w:b/>
        </w:rPr>
        <w:t xml:space="preserve">Online Information Sheet: </w:t>
      </w:r>
      <w:hyperlink r:id="rId11">
        <w:r>
          <w:rPr>
            <w:color w:val="245B43"/>
            <w:u w:val="single"/>
          </w:rPr>
          <w:t>planteducationproject.com/rubber-plant/</w:t>
        </w:r>
      </w:hyperlink>
    </w:p>
    <w:p>
      <w:r>
        <w:rPr>
          <w:b w:val="0"/>
          <w:i w:val="0"/>
        </w:rPr>
        <w:t>🌿 Plant Information Sheet</w:t>
      </w:r>
    </w:p>
    <w:p>
      <w:r>
        <w:rPr>
          <w:b w:val="0"/>
          <w:i/>
        </w:rPr>
        <w:t>Ficus elastica Roxb. ex Hornem.  •  Family Moraceae</w:t>
      </w:r>
    </w:p>
    <w:p>
      <w:r>
        <w:rPr>
          <w:b w:val="0"/>
          <w:i w:val="0"/>
        </w:rPr>
        <w:t>A tropical forest tree grown indoors for its large, glossy leaves. Rubber plant performs best with bright filtered light, warm stable conditions, an airy root zone, and thorough watering followed by partial drying.</w:t>
      </w:r>
    </w:p>
    <w:p>
      <w:r>
        <w:rPr>
          <w:b w:val="0"/>
          <w:i/>
        </w:rPr>
        <w:t>To understand the care of a plant, understand its native climate and environment.</w:t>
      </w:r>
    </w:p>
    <w:p>
      <w:pPr>
        <w:pStyle w:val="Heading2"/>
      </w:pPr>
      <w:r>
        <w:t>Native status, spread and safety</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Field</w:t>
            </w:r>
          </w:p>
        </w:tc>
        <w:tc>
          <w:tcPr>
            <w:tcW w:type="dxa" w:w="5083"/>
            <w:vAlign w:val="center"/>
            <w:shd w:fill="E9EDF0"/>
          </w:tcPr>
          <w:p>
            <w:pPr>
              <w:spacing w:after="60"/>
            </w:pPr>
            <w:r>
              <w:rPr>
                <w:b/>
                <w:i w:val="0"/>
                <w:sz w:val="22"/>
              </w:rPr>
              <w:t>Status</w:t>
            </w:r>
          </w:p>
        </w:tc>
      </w:tr>
      <w:tr>
        <w:trPr>
          <w:cantSplit/>
        </w:trPr>
        <w:tc>
          <w:tcPr>
            <w:tcW w:type="dxa" w:w="5083"/>
            <w:vAlign w:val="center"/>
            <w:shd w:fill="FFFFFF"/>
          </w:tcPr>
          <w:p>
            <w:pPr>
              <w:spacing w:after="60"/>
            </w:pPr>
            <w:r>
              <w:rPr>
                <w:b/>
                <w:i w:val="0"/>
                <w:sz w:val="22"/>
              </w:rPr>
              <w:t>Native to Tippecanoe County, Indiana</w:t>
            </w:r>
          </w:p>
        </w:tc>
        <w:tc>
          <w:tcPr>
            <w:tcW w:type="dxa" w:w="5083"/>
            <w:vAlign w:val="center"/>
            <w:shd w:fill="FFFFFF"/>
          </w:tcPr>
          <w:p>
            <w:pPr>
              <w:spacing w:after="60"/>
            </w:pPr>
            <w:r>
              <w:rPr>
                <w:b w:val="0"/>
                <w:i w:val="0"/>
                <w:sz w:val="22"/>
              </w:rPr>
              <w:t>No. The plant’s native range is outside Indiana.</w:t>
            </w:r>
          </w:p>
        </w:tc>
      </w:tr>
      <w:tr>
        <w:trPr>
          <w:cantSplit/>
        </w:trPr>
        <w:tc>
          <w:tcPr>
            <w:tcW w:type="dxa" w:w="5083"/>
            <w:vAlign w:val="center"/>
            <w:shd w:fill="FFFFFF"/>
          </w:tcPr>
          <w:p>
            <w:pPr>
              <w:spacing w:after="60"/>
            </w:pPr>
            <w:r>
              <w:rPr>
                <w:b/>
                <w:i w:val="0"/>
                <w:sz w:val="22"/>
              </w:rPr>
              <w:t>Native to the United States</w:t>
            </w:r>
          </w:p>
        </w:tc>
        <w:tc>
          <w:tcPr>
            <w:tcW w:type="dxa" w:w="5083"/>
            <w:vAlign w:val="center"/>
            <w:shd w:fill="FFFFFF"/>
          </w:tcPr>
          <w:p>
            <w:pPr>
              <w:spacing w:after="60"/>
            </w:pPr>
            <w:r>
              <w:rPr>
                <w:b w:val="0"/>
                <w:i w:val="0"/>
                <w:sz w:val="22"/>
              </w:rPr>
              <w:t>No.</w:t>
            </w:r>
          </w:p>
        </w:tc>
      </w:tr>
      <w:tr>
        <w:trPr>
          <w:cantSplit/>
        </w:trPr>
        <w:tc>
          <w:tcPr>
            <w:tcW w:type="dxa" w:w="5083"/>
            <w:vAlign w:val="center"/>
            <w:shd w:fill="FFFFFF"/>
          </w:tcPr>
          <w:p>
            <w:pPr>
              <w:spacing w:after="60"/>
            </w:pPr>
            <w:r>
              <w:rPr>
                <w:b/>
                <w:i w:val="0"/>
                <w:sz w:val="22"/>
              </w:rPr>
              <w:t>Invasive status</w:t>
            </w:r>
          </w:p>
        </w:tc>
        <w:tc>
          <w:tcPr>
            <w:tcW w:type="dxa" w:w="5083"/>
            <w:vAlign w:val="center"/>
            <w:shd w:fill="FFFFFF"/>
          </w:tcPr>
          <w:p>
            <w:pPr>
              <w:spacing w:after="60"/>
            </w:pPr>
            <w:r>
              <w:rPr>
                <w:b w:val="0"/>
                <w:i w:val="0"/>
                <w:sz w:val="22"/>
              </w:rPr>
              <w:t>No Indiana invasive designation established by this revision. Frost-sensitive container culture does not establish its status in other climates.</w:t>
            </w:r>
          </w:p>
        </w:tc>
      </w:tr>
      <w:tr>
        <w:trPr>
          <w:cantSplit/>
        </w:trPr>
        <w:tc>
          <w:tcPr>
            <w:tcW w:type="dxa" w:w="5083"/>
            <w:vAlign w:val="center"/>
            <w:shd w:fill="FFFFFF"/>
          </w:tcPr>
          <w:p>
            <w:pPr>
              <w:spacing w:after="60"/>
            </w:pPr>
            <w:r>
              <w:rPr>
                <w:b/>
                <w:i w:val="0"/>
                <w:sz w:val="22"/>
              </w:rPr>
              <w:t>Self-seeding</w:t>
            </w:r>
          </w:p>
        </w:tc>
        <w:tc>
          <w:tcPr>
            <w:tcW w:type="dxa" w:w="5083"/>
            <w:vAlign w:val="center"/>
            <w:shd w:fill="FFFFFF"/>
          </w:tcPr>
          <w:p>
            <w:pPr>
              <w:spacing w:after="60"/>
            </w:pPr>
            <w:r>
              <w:rPr>
                <w:b w:val="0"/>
                <w:i w:val="0"/>
                <w:sz w:val="22"/>
              </w:rPr>
              <w:t>No in ordinary indoor culture; reproduction depends on specialized pollination.</w:t>
            </w:r>
          </w:p>
        </w:tc>
      </w:tr>
      <w:tr>
        <w:trPr>
          <w:cantSplit/>
        </w:trPr>
        <w:tc>
          <w:tcPr>
            <w:tcW w:type="dxa" w:w="5083"/>
            <w:vAlign w:val="center"/>
            <w:shd w:fill="FFFFFF"/>
          </w:tcPr>
          <w:p>
            <w:pPr>
              <w:spacing w:after="60"/>
            </w:pPr>
            <w:r>
              <w:rPr>
                <w:b/>
                <w:i w:val="0"/>
                <w:sz w:val="22"/>
              </w:rPr>
              <w:t>Edibility and cautions</w:t>
            </w:r>
          </w:p>
        </w:tc>
        <w:tc>
          <w:tcPr>
            <w:tcW w:type="dxa" w:w="5083"/>
            <w:vAlign w:val="center"/>
            <w:shd w:fill="FFFFFF"/>
          </w:tcPr>
          <w:p>
            <w:pPr>
              <w:spacing w:after="60"/>
            </w:pPr>
            <w:r>
              <w:rPr>
                <w:b w:val="0"/>
                <w:i w:val="0"/>
                <w:sz w:val="22"/>
              </w:rPr>
              <w:t>No. Irritating latex can affect skin and eyes, and ingestion can harm pets. Wear gloves for cuts that release sap.</w:t>
            </w:r>
          </w:p>
        </w:tc>
      </w:tr>
    </w:tbl>
    <w:p>
      <w:pPr>
        <w:spacing w:after="20"/>
      </w:pPr>
    </w:p>
    <w:p>
      <w:pPr>
        <w:pStyle w:val="Heading2"/>
      </w:pPr>
      <w:r>
        <w:t>At a Glance</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Status</w:t>
            </w:r>
          </w:p>
        </w:tc>
        <w:tc>
          <w:tcPr>
            <w:tcW w:type="dxa" w:w="5083"/>
            <w:vAlign w:val="center"/>
            <w:shd w:fill="E9EDF0"/>
          </w:tcPr>
          <w:p>
            <w:pPr>
              <w:spacing w:after="60"/>
            </w:pPr>
            <w:r>
              <w:rPr>
                <w:b/>
                <w:i w:val="0"/>
                <w:sz w:val="22"/>
              </w:rPr>
              <w:t>Rubber plant standard</w:t>
            </w:r>
          </w:p>
        </w:tc>
      </w:tr>
      <w:tr>
        <w:trPr>
          <w:cantSplit/>
        </w:trPr>
        <w:tc>
          <w:tcPr>
            <w:tcW w:type="dxa" w:w="5083"/>
            <w:vAlign w:val="center"/>
            <w:shd w:fill="FFFFFF"/>
          </w:tcPr>
          <w:p>
            <w:pPr>
              <w:spacing w:after="60"/>
            </w:pPr>
            <w:r>
              <w:rPr>
                <w:b/>
                <w:i w:val="0"/>
                <w:sz w:val="22"/>
              </w:rPr>
              <w:t>Native to Lafayette area</w:t>
            </w:r>
          </w:p>
        </w:tc>
        <w:tc>
          <w:tcPr>
            <w:tcW w:type="dxa" w:w="5083"/>
            <w:vAlign w:val="center"/>
            <w:shd w:fill="FFFFFF"/>
          </w:tcPr>
          <w:p>
            <w:pPr>
              <w:spacing w:after="60"/>
            </w:pPr>
            <w:r>
              <w:rPr>
                <w:b w:val="0"/>
                <w:i w:val="0"/>
                <w:sz w:val="22"/>
              </w:rPr>
              <w:t>No - tropical Asian species; not winter-hardy in Indiana.</w:t>
            </w:r>
          </w:p>
        </w:tc>
      </w:tr>
      <w:tr>
        <w:trPr>
          <w:cantSplit/>
        </w:trPr>
        <w:tc>
          <w:tcPr>
            <w:tcW w:type="dxa" w:w="5083"/>
            <w:vAlign w:val="center"/>
            <w:shd w:fill="FFFFFF"/>
          </w:tcPr>
          <w:p>
            <w:pPr>
              <w:spacing w:after="60"/>
            </w:pPr>
            <w:r>
              <w:rPr>
                <w:b/>
                <w:i w:val="0"/>
                <w:sz w:val="22"/>
              </w:rPr>
              <w:t>Native to the United States</w:t>
            </w:r>
          </w:p>
        </w:tc>
        <w:tc>
          <w:tcPr>
            <w:tcW w:type="dxa" w:w="5083"/>
            <w:vAlign w:val="center"/>
            <w:shd w:fill="FFFFFF"/>
          </w:tcPr>
          <w:p>
            <w:pPr>
              <w:spacing w:after="60"/>
            </w:pPr>
            <w:r>
              <w:rPr>
                <w:b w:val="0"/>
                <w:i w:val="0"/>
                <w:sz w:val="22"/>
              </w:rPr>
              <w:t>No.</w:t>
            </w:r>
          </w:p>
        </w:tc>
      </w:tr>
      <w:tr>
        <w:trPr>
          <w:cantSplit/>
        </w:trPr>
        <w:tc>
          <w:tcPr>
            <w:tcW w:type="dxa" w:w="5083"/>
            <w:vAlign w:val="center"/>
            <w:shd w:fill="FFFFFF"/>
          </w:tcPr>
          <w:p>
            <w:pPr>
              <w:spacing w:after="60"/>
            </w:pPr>
            <w:r>
              <w:rPr>
                <w:b/>
                <w:i w:val="0"/>
                <w:sz w:val="22"/>
              </w:rPr>
              <w:t>Invasive status</w:t>
            </w:r>
          </w:p>
        </w:tc>
        <w:tc>
          <w:tcPr>
            <w:tcW w:type="dxa" w:w="5083"/>
            <w:vAlign w:val="center"/>
            <w:shd w:fill="FFFFFF"/>
          </w:tcPr>
          <w:p>
            <w:pPr>
              <w:spacing w:after="60"/>
            </w:pPr>
            <w:r>
              <w:rPr>
                <w:b w:val="0"/>
                <w:i w:val="0"/>
                <w:sz w:val="22"/>
              </w:rPr>
              <w:t>Not invasive in Indiana. It can naturalize in some frost-free tropical regions.</w:t>
            </w:r>
          </w:p>
        </w:tc>
      </w:tr>
      <w:tr>
        <w:trPr>
          <w:cantSplit/>
        </w:trPr>
        <w:tc>
          <w:tcPr>
            <w:tcW w:type="dxa" w:w="5083"/>
            <w:vAlign w:val="center"/>
            <w:shd w:fill="FFFFFF"/>
          </w:tcPr>
          <w:p>
            <w:pPr>
              <w:spacing w:after="60"/>
            </w:pPr>
            <w:r>
              <w:rPr>
                <w:b/>
                <w:i w:val="0"/>
                <w:sz w:val="22"/>
              </w:rPr>
              <w:t>Self-seeding</w:t>
            </w:r>
          </w:p>
        </w:tc>
        <w:tc>
          <w:tcPr>
            <w:tcW w:type="dxa" w:w="5083"/>
            <w:vAlign w:val="center"/>
            <w:shd w:fill="FFFFFF"/>
          </w:tcPr>
          <w:p>
            <w:pPr>
              <w:spacing w:after="60"/>
            </w:pPr>
            <w:r>
              <w:rPr>
                <w:b w:val="0"/>
                <w:i w:val="0"/>
                <w:sz w:val="22"/>
              </w:rPr>
              <w:t>No under ordinary indoor conditions; specialized fig pollination is normally absent.</w:t>
            </w:r>
          </w:p>
        </w:tc>
      </w:tr>
      <w:tr>
        <w:trPr>
          <w:cantSplit/>
        </w:trPr>
        <w:tc>
          <w:tcPr>
            <w:tcW w:type="dxa" w:w="5083"/>
            <w:vAlign w:val="center"/>
            <w:shd w:fill="FFFFFF"/>
          </w:tcPr>
          <w:p>
            <w:pPr>
              <w:spacing w:after="60"/>
            </w:pPr>
            <w:r>
              <w:rPr>
                <w:b/>
                <w:i w:val="0"/>
                <w:sz w:val="22"/>
              </w:rPr>
              <w:t>Edibility</w:t>
            </w:r>
          </w:p>
        </w:tc>
        <w:tc>
          <w:tcPr>
            <w:tcW w:type="dxa" w:w="5083"/>
            <w:vAlign w:val="center"/>
            <w:shd w:fill="FFFFFF"/>
          </w:tcPr>
          <w:p>
            <w:pPr>
              <w:spacing w:after="60"/>
            </w:pPr>
            <w:r>
              <w:rPr>
                <w:b w:val="0"/>
                <w:i w:val="0"/>
                <w:sz w:val="22"/>
              </w:rPr>
              <w:t>Not edible. Milky latex may irritate skin and eyes.</w:t>
            </w:r>
          </w:p>
        </w:tc>
      </w:tr>
      <w:tr>
        <w:trPr>
          <w:cantSplit/>
        </w:trPr>
        <w:tc>
          <w:tcPr>
            <w:tcW w:type="dxa" w:w="5083"/>
            <w:vAlign w:val="center"/>
            <w:shd w:fill="FFFFFF"/>
          </w:tcPr>
          <w:p>
            <w:pPr>
              <w:spacing w:after="60"/>
            </w:pPr>
            <w:r>
              <w:rPr>
                <w:b/>
                <w:i w:val="0"/>
                <w:sz w:val="22"/>
              </w:rPr>
              <w:t>Pet safety</w:t>
            </w:r>
          </w:p>
        </w:tc>
        <w:tc>
          <w:tcPr>
            <w:tcW w:type="dxa" w:w="5083"/>
            <w:vAlign w:val="center"/>
            <w:shd w:fill="FFFFFF"/>
          </w:tcPr>
          <w:p>
            <w:pPr>
              <w:spacing w:after="60"/>
            </w:pPr>
            <w:r>
              <w:rPr>
                <w:b w:val="0"/>
                <w:i w:val="0"/>
                <w:sz w:val="22"/>
              </w:rPr>
              <w:t>Toxic to cats and dogs if chewed.</w:t>
            </w:r>
          </w:p>
        </w:tc>
      </w:tr>
      <w:tr>
        <w:trPr>
          <w:cantSplit/>
        </w:trPr>
        <w:tc>
          <w:tcPr>
            <w:tcW w:type="dxa" w:w="5083"/>
            <w:vAlign w:val="center"/>
            <w:shd w:fill="FFFFFF"/>
          </w:tcPr>
          <w:p>
            <w:pPr>
              <w:spacing w:after="60"/>
            </w:pPr>
            <w:r>
              <w:rPr>
                <w:b/>
                <w:i w:val="0"/>
                <w:sz w:val="22"/>
              </w:rPr>
              <w:t>Light</w:t>
            </w:r>
          </w:p>
        </w:tc>
        <w:tc>
          <w:tcPr>
            <w:tcW w:type="dxa" w:w="5083"/>
            <w:vAlign w:val="center"/>
            <w:shd w:fill="FFFFFF"/>
          </w:tcPr>
          <w:p>
            <w:pPr>
              <w:spacing w:after="60"/>
            </w:pPr>
            <w:r>
              <w:rPr>
                <w:b w:val="0"/>
                <w:i w:val="0"/>
                <w:sz w:val="22"/>
              </w:rPr>
              <w:t>Bright indirect light; acclimated gentle direct sun is acceptable.</w:t>
            </w:r>
          </w:p>
        </w:tc>
      </w:tr>
      <w:tr>
        <w:trPr>
          <w:cantSplit/>
        </w:trPr>
        <w:tc>
          <w:tcPr>
            <w:tcW w:type="dxa" w:w="5083"/>
            <w:vAlign w:val="center"/>
            <w:shd w:fill="FFFFFF"/>
          </w:tcPr>
          <w:p>
            <w:pPr>
              <w:spacing w:after="60"/>
            </w:pPr>
            <w:r>
              <w:rPr>
                <w:b/>
                <w:i w:val="0"/>
                <w:sz w:val="22"/>
              </w:rPr>
              <w:t>Water</w:t>
            </w:r>
          </w:p>
        </w:tc>
        <w:tc>
          <w:tcPr>
            <w:tcW w:type="dxa" w:w="5083"/>
            <w:vAlign w:val="center"/>
            <w:shd w:fill="FFFFFF"/>
          </w:tcPr>
          <w:p>
            <w:pPr>
              <w:spacing w:after="60"/>
            </w:pPr>
            <w:r>
              <w:rPr>
                <w:b w:val="0"/>
                <w:i w:val="0"/>
                <w:sz w:val="22"/>
              </w:rPr>
              <w:t>Water thoroughly when the upper 1-2 in (2.5-5 cm) dries; empty the saucer.</w:t>
            </w:r>
          </w:p>
        </w:tc>
      </w:tr>
      <w:tr>
        <w:trPr>
          <w:cantSplit/>
        </w:trPr>
        <w:tc>
          <w:tcPr>
            <w:tcW w:type="dxa" w:w="5083"/>
            <w:vAlign w:val="center"/>
            <w:shd w:fill="FFFFFF"/>
          </w:tcPr>
          <w:p>
            <w:pPr>
              <w:spacing w:after="60"/>
            </w:pPr>
            <w:r>
              <w:rPr>
                <w:b/>
                <w:i w:val="0"/>
                <w:sz w:val="22"/>
              </w:rPr>
              <w:t>Temperature</w:t>
            </w:r>
          </w:p>
        </w:tc>
        <w:tc>
          <w:tcPr>
            <w:tcW w:type="dxa" w:w="5083"/>
            <w:vAlign w:val="center"/>
            <w:shd w:fill="FFFFFF"/>
          </w:tcPr>
          <w:p>
            <w:pPr>
              <w:spacing w:after="60"/>
            </w:pPr>
            <w:r>
              <w:rPr>
                <w:b w:val="0"/>
                <w:i w:val="0"/>
                <w:sz w:val="22"/>
              </w:rPr>
              <w:t>65-80 °F (18-27 °C) preferred; protect from cold drafts.</w:t>
            </w:r>
          </w:p>
        </w:tc>
      </w:tr>
      <w:tr>
        <w:trPr>
          <w:cantSplit/>
        </w:trPr>
        <w:tc>
          <w:tcPr>
            <w:tcW w:type="dxa" w:w="5083"/>
            <w:vAlign w:val="center"/>
            <w:shd w:fill="FFFFFF"/>
          </w:tcPr>
          <w:p>
            <w:pPr>
              <w:spacing w:after="60"/>
            </w:pPr>
            <w:r>
              <w:rPr>
                <w:b/>
                <w:i w:val="0"/>
                <w:sz w:val="22"/>
              </w:rPr>
              <w:t>Humidity</w:t>
            </w:r>
          </w:p>
        </w:tc>
        <w:tc>
          <w:tcPr>
            <w:tcW w:type="dxa" w:w="5083"/>
            <w:vAlign w:val="center"/>
            <w:shd w:fill="FFFFFF"/>
          </w:tcPr>
          <w:p>
            <w:pPr>
              <w:spacing w:after="60"/>
            </w:pPr>
            <w:r>
              <w:rPr>
                <w:b w:val="0"/>
                <w:i w:val="0"/>
                <w:sz w:val="22"/>
              </w:rPr>
              <w:t>Ordinary indoor humidity is workable; about 40-60% RH is practical.</w:t>
            </w:r>
          </w:p>
        </w:tc>
      </w:tr>
      <w:tr>
        <w:trPr>
          <w:cantSplit/>
        </w:trPr>
        <w:tc>
          <w:tcPr>
            <w:tcW w:type="dxa" w:w="5083"/>
            <w:vAlign w:val="center"/>
            <w:shd w:fill="FFFFFF"/>
          </w:tcPr>
          <w:p>
            <w:pPr>
              <w:spacing w:after="60"/>
            </w:pPr>
            <w:r>
              <w:rPr>
                <w:b/>
                <w:i w:val="0"/>
                <w:sz w:val="22"/>
              </w:rPr>
              <w:t>Mature indoor size</w:t>
            </w:r>
          </w:p>
        </w:tc>
        <w:tc>
          <w:tcPr>
            <w:tcW w:type="dxa" w:w="5083"/>
            <w:vAlign w:val="center"/>
            <w:shd w:fill="FFFFFF"/>
          </w:tcPr>
          <w:p>
            <w:pPr>
              <w:spacing w:after="60"/>
            </w:pPr>
            <w:r>
              <w:rPr>
                <w:b w:val="0"/>
                <w:i w:val="0"/>
                <w:sz w:val="22"/>
              </w:rPr>
              <w:t>Often 6-10 ft (1.8-3 m), controlled by light, pot size, and pruning.</w:t>
            </w:r>
          </w:p>
        </w:tc>
      </w:tr>
    </w:tbl>
    <w:p>
      <w:pPr>
        <w:spacing w:after="20"/>
      </w:pPr>
    </w:p>
    <w:p>
      <w:pPr>
        <w:pStyle w:val="Heading2"/>
      </w:pPr>
      <w:r>
        <w:t>Identification</w:t>
      </w:r>
    </w:p>
    <w:p>
      <w:r>
        <w:rPr>
          <w:b w:val="0"/>
          <w:i w:val="0"/>
        </w:rPr>
        <w:t>Rubber plant is an evergreen fig with thick, glossy, oval leaves and a conspicuous reddish stipule that protects each emerging leaf. Indoors it usually grows as an upright woody stem, but pruning can encourage branching. In nature it becomes a massive tree with spreading roots and aerial roots.</w:t>
      </w:r>
    </w:p>
    <w:p>
      <w:pPr>
        <w:pStyle w:val="ListBullet"/>
      </w:pPr>
      <w:r>
        <w:rPr>
          <w:b w:val="0"/>
          <w:i w:val="0"/>
        </w:rPr>
        <w:t>New leaves emerge tightly rolled inside a red or pinkish sheath.</w:t>
      </w:r>
    </w:p>
    <w:p>
      <w:pPr>
        <w:pStyle w:val="ListBullet"/>
      </w:pPr>
      <w:r>
        <w:rPr>
          <w:b w:val="0"/>
          <w:i w:val="0"/>
        </w:rPr>
        <w:t>Older leaves are broad, leathery, and usually deep green; variegated cultivars may show cream, pink, or burgundy.</w:t>
      </w:r>
    </w:p>
    <w:p>
      <w:pPr>
        <w:pStyle w:val="ListBullet"/>
      </w:pPr>
      <w:r>
        <w:rPr>
          <w:b w:val="0"/>
          <w:i w:val="0"/>
        </w:rPr>
        <w:t>Cut leaves or stems exude white latex sap.</w:t>
      </w:r>
    </w:p>
    <w:p>
      <w:pPr>
        <w:pStyle w:val="ListBullet"/>
      </w:pPr>
      <w:r>
        <w:rPr>
          <w:b w:val="0"/>
          <w:i w:val="0"/>
        </w:rPr>
        <w:t>The flowers are hidden inside fig-like structures called syconia; there is no ordinary showy blossom.</w:t>
      </w:r>
    </w:p>
    <w:p>
      <w:pPr>
        <w:pStyle w:val="Heading2"/>
      </w:pPr>
      <w:r>
        <w:t>Light</w:t>
      </w:r>
    </w:p>
    <w:p>
      <w:r>
        <w:rPr>
          <w:b w:val="0"/>
          <w:i w:val="0"/>
        </w:rPr>
        <w:t>Provide abundant filtered light. An east window, a bright south or west exposure softened by a sheer curtain, or a suitable grow light usually works well. Low light slows growth and lengthens internodes. Move the plant gradually when increasing direct sun so leaves do not scorch.</w:t>
      </w:r>
    </w:p>
    <w:p>
      <w:pPr>
        <w:pStyle w:val="ListBullet"/>
      </w:pPr>
      <w:r>
        <w:rPr>
          <w:b w:val="0"/>
          <w:i w:val="0"/>
        </w:rPr>
        <w:t>Rotate the pot about one-quarter turn every week or two for balanced growth.</w:t>
      </w:r>
    </w:p>
    <w:p>
      <w:pPr>
        <w:pStyle w:val="ListBullet"/>
      </w:pPr>
      <w:r>
        <w:rPr>
          <w:b w:val="0"/>
          <w:i w:val="0"/>
        </w:rPr>
        <w:t>Variegated cultivars need brighter light than solid-green plants to retain compact growth and color.</w:t>
      </w:r>
    </w:p>
    <w:p>
      <w:pPr>
        <w:pStyle w:val="ListBullet"/>
      </w:pPr>
      <w:r>
        <w:rPr>
          <w:b w:val="0"/>
          <w:i w:val="0"/>
        </w:rPr>
        <w:t>A useful indoor working range is roughly 100-300 µmol·m⁻²·s⁻¹ PPFD for about 12 hours daily, adjusted by plant response.</w:t>
      </w:r>
    </w:p>
    <w:p>
      <w:pPr>
        <w:pStyle w:val="Heading2"/>
      </w:pPr>
      <w:r>
        <w:t>Soil and Potting Mix</w:t>
      </w:r>
    </w:p>
    <w:p>
      <w:r>
        <w:rPr>
          <w:b w:val="0"/>
          <w:i w:val="0"/>
        </w:rPr>
        <w:t>Tropical Foliage Standard Mix: 1 part generic potting soil + 1 part coarse perlite, by volume.</w:t>
      </w:r>
    </w:p>
    <w:p>
      <w:pPr>
        <w:pStyle w:val="ListBullet"/>
      </w:pPr>
      <w:r>
        <w:rPr>
          <w:b w:val="0"/>
          <w:i w:val="0"/>
        </w:rPr>
        <w:t>Use a container with an unobstructed drainage hole.</w:t>
      </w:r>
    </w:p>
    <w:p>
      <w:pPr>
        <w:pStyle w:val="ListBullet"/>
      </w:pPr>
      <w:r>
        <w:rPr>
          <w:b w:val="0"/>
          <w:i w:val="0"/>
        </w:rPr>
        <w:t>Move up only 1-2 in (2.5-5 cm) in pot diameter when repotting.</w:t>
      </w:r>
    </w:p>
    <w:p>
      <w:pPr>
        <w:pStyle w:val="ListBullet"/>
      </w:pPr>
      <w:r>
        <w:rPr>
          <w:b w:val="0"/>
          <w:i w:val="0"/>
        </w:rPr>
        <w:t>Repot when roots densely occupy the container, water runs through poorly, or the mix has broken down and remains wet too long.</w:t>
      </w:r>
    </w:p>
    <w:p>
      <w:pPr>
        <w:pStyle w:val="ListBullet"/>
      </w:pPr>
      <w:r>
        <w:rPr>
          <w:b w:val="0"/>
          <w:i w:val="0"/>
        </w:rPr>
        <w:t>Do not add a gravel layer; it does not substitute for drainage holes or an airy mix.</w:t>
      </w:r>
    </w:p>
    <w:p>
      <w:pPr>
        <w:pStyle w:val="Heading2"/>
      </w:pPr>
      <w:r>
        <w:t>Watering</w:t>
      </w:r>
    </w:p>
    <w:p>
      <w:r>
        <w:rPr>
          <w:b w:val="0"/>
          <w:i w:val="0"/>
        </w:rPr>
        <w:t>Do not water by the calendar. Test the root zone. When the upper 1-2 in (2.5-5 cm) is dry, water slowly and thoroughly until water drains from the bottom, then empty the saucer. The aim is a complete wetting followed by partial drying - never permanently wet soil and never prolonged drought.</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Observation</w:t>
            </w:r>
          </w:p>
        </w:tc>
        <w:tc>
          <w:tcPr>
            <w:tcW w:type="dxa" w:w="5083"/>
            <w:vAlign w:val="center"/>
            <w:shd w:fill="E9EDF0"/>
          </w:tcPr>
          <w:p>
            <w:pPr>
              <w:spacing w:after="60"/>
            </w:pPr>
            <w:r>
              <w:rPr>
                <w:b/>
                <w:i w:val="0"/>
                <w:sz w:val="22"/>
              </w:rPr>
              <w:t>Response</w:t>
            </w:r>
          </w:p>
        </w:tc>
      </w:tr>
      <w:tr>
        <w:trPr>
          <w:cantSplit/>
        </w:trPr>
        <w:tc>
          <w:tcPr>
            <w:tcW w:type="dxa" w:w="5083"/>
            <w:vAlign w:val="center"/>
            <w:shd w:fill="FFFFFF"/>
          </w:tcPr>
          <w:p>
            <w:pPr>
              <w:spacing w:after="60"/>
            </w:pPr>
            <w:r>
              <w:rPr>
                <w:b/>
                <w:i w:val="0"/>
                <w:sz w:val="22"/>
              </w:rPr>
              <w:t>Mix remains wet for many days</w:t>
            </w:r>
          </w:p>
        </w:tc>
        <w:tc>
          <w:tcPr>
            <w:tcW w:type="dxa" w:w="5083"/>
            <w:vAlign w:val="center"/>
            <w:shd w:fill="FFFFFF"/>
          </w:tcPr>
          <w:p>
            <w:pPr>
              <w:spacing w:after="60"/>
            </w:pPr>
            <w:r>
              <w:rPr>
                <w:b w:val="0"/>
                <w:i w:val="0"/>
                <w:sz w:val="22"/>
              </w:rPr>
              <w:t>Increase light and airflow; verify drainage; inspect roots if decline continues.</w:t>
            </w:r>
          </w:p>
        </w:tc>
      </w:tr>
      <w:tr>
        <w:trPr>
          <w:cantSplit/>
        </w:trPr>
        <w:tc>
          <w:tcPr>
            <w:tcW w:type="dxa" w:w="5083"/>
            <w:vAlign w:val="center"/>
            <w:shd w:fill="FFFFFF"/>
          </w:tcPr>
          <w:p>
            <w:pPr>
              <w:spacing w:after="60"/>
            </w:pPr>
            <w:r>
              <w:rPr>
                <w:b/>
                <w:i w:val="0"/>
                <w:sz w:val="22"/>
              </w:rPr>
              <w:t>Leaves droop and mix is dry</w:t>
            </w:r>
          </w:p>
        </w:tc>
        <w:tc>
          <w:tcPr>
            <w:tcW w:type="dxa" w:w="5083"/>
            <w:vAlign w:val="center"/>
            <w:shd w:fill="FFFFFF"/>
          </w:tcPr>
          <w:p>
            <w:pPr>
              <w:spacing w:after="60"/>
            </w:pPr>
            <w:r>
              <w:rPr>
                <w:b w:val="0"/>
                <w:i w:val="0"/>
                <w:sz w:val="22"/>
              </w:rPr>
              <w:t>Water thoroughly; confirm the entire root ball accepts water.</w:t>
            </w:r>
          </w:p>
        </w:tc>
      </w:tr>
      <w:tr>
        <w:trPr>
          <w:cantSplit/>
        </w:trPr>
        <w:tc>
          <w:tcPr>
            <w:tcW w:type="dxa" w:w="5083"/>
            <w:vAlign w:val="center"/>
            <w:shd w:fill="FFFFFF"/>
          </w:tcPr>
          <w:p>
            <w:pPr>
              <w:spacing w:after="60"/>
            </w:pPr>
            <w:r>
              <w:rPr>
                <w:b/>
                <w:i w:val="0"/>
                <w:sz w:val="22"/>
              </w:rPr>
              <w:t>Yellow lower leaves with wet mix</w:t>
            </w:r>
          </w:p>
        </w:tc>
        <w:tc>
          <w:tcPr>
            <w:tcW w:type="dxa" w:w="5083"/>
            <w:vAlign w:val="center"/>
            <w:shd w:fill="FFFFFF"/>
          </w:tcPr>
          <w:p>
            <w:pPr>
              <w:spacing w:after="60"/>
            </w:pPr>
            <w:r>
              <w:rPr>
                <w:b w:val="0"/>
                <w:i w:val="0"/>
                <w:sz w:val="22"/>
              </w:rPr>
              <w:t>Lengthen the interval and check for root damage.</w:t>
            </w:r>
          </w:p>
        </w:tc>
      </w:tr>
      <w:tr>
        <w:trPr>
          <w:cantSplit/>
        </w:trPr>
        <w:tc>
          <w:tcPr>
            <w:tcW w:type="dxa" w:w="5083"/>
            <w:vAlign w:val="center"/>
            <w:shd w:fill="FFFFFF"/>
          </w:tcPr>
          <w:p>
            <w:pPr>
              <w:spacing w:after="60"/>
            </w:pPr>
            <w:r>
              <w:rPr>
                <w:b/>
                <w:i w:val="0"/>
                <w:sz w:val="22"/>
              </w:rPr>
              <w:t>Brown dry margins</w:t>
            </w:r>
          </w:p>
        </w:tc>
        <w:tc>
          <w:tcPr>
            <w:tcW w:type="dxa" w:w="5083"/>
            <w:vAlign w:val="center"/>
            <w:shd w:fill="FFFFFF"/>
          </w:tcPr>
          <w:p>
            <w:pPr>
              <w:spacing w:after="60"/>
            </w:pPr>
            <w:r>
              <w:rPr>
                <w:b w:val="0"/>
                <w:i w:val="0"/>
                <w:sz w:val="22"/>
              </w:rPr>
              <w:t>Check for drought, hot dry air, or accumulated salts.</w:t>
            </w:r>
          </w:p>
        </w:tc>
      </w:tr>
    </w:tbl>
    <w:p>
      <w:pPr>
        <w:spacing w:after="20"/>
      </w:pPr>
    </w:p>
    <w:p>
      <w:pPr>
        <w:pStyle w:val="Heading2"/>
      </w:pPr>
      <w:r>
        <w:t>Temperature Humidity and Air</w:t>
      </w:r>
    </w:p>
    <w:p>
      <w:r>
        <w:rPr>
          <w:b w:val="0"/>
          <w:i w:val="0"/>
        </w:rPr>
        <w:t>Maintain stable household warmth and keep the plant away from cold glass, exterior-door drafts, and direct heating or air-conditioning blasts. Normal indoor humidity is usually adequate, though chronically hot, dry air favors brown margins and spider mites. Gentle air movement is beneficial.</w:t>
      </w:r>
    </w:p>
    <w:p>
      <w:pPr>
        <w:pStyle w:val="Heading2"/>
      </w:pPr>
      <w:r>
        <w:t>Fertilizing</w:t>
      </w:r>
    </w:p>
    <w:p>
      <w:r>
        <w:rPr>
          <w:b w:val="0"/>
          <w:i w:val="0"/>
        </w:rPr>
        <w:t>During active spring and summer growth, apply a complete houseplant fertilizer at about one-half the label strength every four weeks. Reduce or stop during low-light winter conditions. Never fertilize a severely dry, newly repotted, or root-damaged plant in an attempt to force recovery. The label is the law.</w:t>
      </w:r>
    </w:p>
    <w:p>
      <w:pPr>
        <w:pStyle w:val="Heading2"/>
      </w:pPr>
      <w:r>
        <w:t>Flowering</w:t>
      </w:r>
    </w:p>
    <w:p>
      <w:r>
        <w:rPr>
          <w:b w:val="0"/>
          <w:i w:val="0"/>
        </w:rPr>
        <w:t>Rubber plant does not display exposed petals. Its tiny flowers develop inside a hollow fig-like syconium. Indoor plants rarely complete the specialized pollination cycle because the associated fig wasp is absent. Treat photographs of syconia as the botanically correct flowering or reproductive view.</w:t>
      </w:r>
    </w:p>
    <w:p>
      <w:pPr>
        <w:pStyle w:val="Heading2"/>
      </w:pPr>
      <w:r>
        <w:t>Propagation</w:t>
      </w:r>
    </w:p>
    <w:p>
      <w:r>
        <w:rPr>
          <w:b w:val="0"/>
          <w:i w:val="0"/>
        </w:rPr>
        <w:t>Stem cuttings and air layering are the dependable methods. Work in spring or early summer when the plant is warm and actively growing. Wear gloves because fresh cuts release irritating latex.</w:t>
      </w:r>
    </w:p>
    <w:p>
      <w:pPr>
        <w:pStyle w:val="ListBullet"/>
      </w:pPr>
      <w:r>
        <w:rPr>
          <w:b w:val="0"/>
          <w:i w:val="0"/>
        </w:rPr>
        <w:t>Stem cutting: take a 4-6 in (10-15 cm) section containing at least one node. A leaf without a node is not a dependable route to a complete new plant.</w:t>
      </w:r>
    </w:p>
    <w:p>
      <w:pPr>
        <w:pStyle w:val="ListBullet"/>
      </w:pPr>
      <w:r>
        <w:rPr>
          <w:b w:val="0"/>
          <w:i w:val="0"/>
        </w:rPr>
        <w:t>Remove the lowest leaf, insert a node into a clean airy medium, keep it slightly moist, and provide bright indirect light at about 70-80 °F (21-27 °C).</w:t>
      </w:r>
    </w:p>
    <w:p>
      <w:pPr>
        <w:pStyle w:val="ListBullet"/>
      </w:pPr>
      <w:r>
        <w:rPr>
          <w:b w:val="0"/>
          <w:i w:val="0"/>
        </w:rPr>
        <w:t>Air layering: wound a healthy stem below a node, surround the wound with moist sphagnum, wrap it, and separate the top only after a substantial root mass is visible.</w:t>
      </w:r>
    </w:p>
    <w:p>
      <w:pPr>
        <w:pStyle w:val="ListBullet"/>
      </w:pPr>
      <w:r>
        <w:rPr>
          <w:b w:val="0"/>
          <w:i w:val="0"/>
        </w:rPr>
        <w:t>Do not fertilize an unrooted cutting. Begin dilute feeding only after roots and active new growth are established.</w:t>
      </w:r>
    </w:p>
    <w:p>
      <w:pPr>
        <w:pStyle w:val="Heading2"/>
      </w:pPr>
      <w:r>
        <w:t>Grooming and Routine Care</w:t>
      </w:r>
    </w:p>
    <w:p>
      <w:pPr>
        <w:pStyle w:val="ListBullet"/>
      </w:pPr>
      <w:r>
        <w:rPr>
          <w:b w:val="0"/>
          <w:i w:val="0"/>
        </w:rPr>
        <w:t>Wipe leaves with a soft damp cloth; do not rely on leaf-shine products.</w:t>
      </w:r>
    </w:p>
    <w:p>
      <w:pPr>
        <w:pStyle w:val="ListBullet"/>
      </w:pPr>
      <w:r>
        <w:rPr>
          <w:b w:val="0"/>
          <w:i w:val="0"/>
        </w:rPr>
        <w:t>Prune above a node in spring or early summer to control height and encourage branching. Fresh cuts can bleed milky latex for several minutes.</w:t>
      </w:r>
    </w:p>
    <w:p>
      <w:pPr>
        <w:pStyle w:val="ListBullet"/>
      </w:pPr>
      <w:r>
        <w:rPr>
          <w:b w:val="0"/>
          <w:i w:val="0"/>
        </w:rPr>
        <w:t>Support tall, top-heavy plants and use a stable container.</w:t>
      </w:r>
    </w:p>
    <w:p>
      <w:pPr>
        <w:pStyle w:val="ListBullet"/>
      </w:pPr>
      <w:r>
        <w:rPr>
          <w:b w:val="0"/>
          <w:i w:val="0"/>
        </w:rPr>
        <w:t>Inspect leaf undersides, petioles, and stem junctions for scale, spider mites, and mealybugs.</w:t>
      </w:r>
    </w:p>
    <w:p>
      <w:pPr>
        <w:pStyle w:val="Heading2"/>
      </w:pPr>
      <w:r>
        <w:t>Troubleshooting</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Symptom</w:t>
            </w:r>
          </w:p>
        </w:tc>
        <w:tc>
          <w:tcPr>
            <w:tcW w:type="dxa" w:w="5083"/>
            <w:vAlign w:val="center"/>
            <w:shd w:fill="E9EDF0"/>
          </w:tcPr>
          <w:p>
            <w:pPr>
              <w:spacing w:after="60"/>
            </w:pPr>
            <w:r>
              <w:rPr>
                <w:b/>
                <w:i w:val="0"/>
                <w:sz w:val="22"/>
              </w:rPr>
              <w:t>Likely cause and first response</w:t>
            </w:r>
          </w:p>
        </w:tc>
      </w:tr>
      <w:tr>
        <w:trPr>
          <w:cantSplit/>
        </w:trPr>
        <w:tc>
          <w:tcPr>
            <w:tcW w:type="dxa" w:w="5083"/>
            <w:vAlign w:val="center"/>
            <w:shd w:fill="FFFFFF"/>
          </w:tcPr>
          <w:p>
            <w:pPr>
              <w:spacing w:after="60"/>
            </w:pPr>
            <w:r>
              <w:rPr>
                <w:b/>
                <w:i w:val="0"/>
                <w:sz w:val="22"/>
              </w:rPr>
              <w:t>Long bare stem or small leaves</w:t>
            </w:r>
          </w:p>
        </w:tc>
        <w:tc>
          <w:tcPr>
            <w:tcW w:type="dxa" w:w="5083"/>
            <w:vAlign w:val="center"/>
            <w:shd w:fill="FFFFFF"/>
          </w:tcPr>
          <w:p>
            <w:pPr>
              <w:spacing w:after="60"/>
            </w:pPr>
            <w:r>
              <w:rPr>
                <w:b w:val="0"/>
                <w:i w:val="0"/>
                <w:sz w:val="22"/>
              </w:rPr>
              <w:t>Insufficient light - increase light gradually.</w:t>
            </w:r>
          </w:p>
        </w:tc>
      </w:tr>
      <w:tr>
        <w:trPr>
          <w:cantSplit/>
        </w:trPr>
        <w:tc>
          <w:tcPr>
            <w:tcW w:type="dxa" w:w="5083"/>
            <w:vAlign w:val="center"/>
            <w:shd w:fill="FFFFFF"/>
          </w:tcPr>
          <w:p>
            <w:pPr>
              <w:spacing w:after="60"/>
            </w:pPr>
            <w:r>
              <w:rPr>
                <w:b/>
                <w:i w:val="0"/>
                <w:sz w:val="22"/>
              </w:rPr>
              <w:t>Bleached or tan patches</w:t>
            </w:r>
          </w:p>
        </w:tc>
        <w:tc>
          <w:tcPr>
            <w:tcW w:type="dxa" w:w="5083"/>
            <w:vAlign w:val="center"/>
            <w:shd w:fill="FFFFFF"/>
          </w:tcPr>
          <w:p>
            <w:pPr>
              <w:spacing w:after="60"/>
            </w:pPr>
            <w:r>
              <w:rPr>
                <w:b w:val="0"/>
                <w:i w:val="0"/>
                <w:sz w:val="22"/>
              </w:rPr>
              <w:t>Sun scorch - filter intense direct light and reacclimate.</w:t>
            </w:r>
          </w:p>
        </w:tc>
      </w:tr>
      <w:tr>
        <w:trPr>
          <w:cantSplit/>
        </w:trPr>
        <w:tc>
          <w:tcPr>
            <w:tcW w:type="dxa" w:w="5083"/>
            <w:vAlign w:val="center"/>
            <w:shd w:fill="FFFFFF"/>
          </w:tcPr>
          <w:p>
            <w:pPr>
              <w:spacing w:after="60"/>
            </w:pPr>
            <w:r>
              <w:rPr>
                <w:b/>
                <w:i w:val="0"/>
                <w:sz w:val="22"/>
              </w:rPr>
              <w:t>Sticky leaves or immobile bumps</w:t>
            </w:r>
          </w:p>
        </w:tc>
        <w:tc>
          <w:tcPr>
            <w:tcW w:type="dxa" w:w="5083"/>
            <w:vAlign w:val="center"/>
            <w:shd w:fill="FFFFFF"/>
          </w:tcPr>
          <w:p>
            <w:pPr>
              <w:spacing w:after="60"/>
            </w:pPr>
            <w:r>
              <w:rPr>
                <w:b w:val="0"/>
                <w:i w:val="0"/>
                <w:sz w:val="22"/>
              </w:rPr>
              <w:t>Scale insects - isolate, inspect closely, and treat promptly.</w:t>
            </w:r>
          </w:p>
        </w:tc>
      </w:tr>
      <w:tr>
        <w:trPr>
          <w:cantSplit/>
        </w:trPr>
        <w:tc>
          <w:tcPr>
            <w:tcW w:type="dxa" w:w="5083"/>
            <w:vAlign w:val="center"/>
            <w:shd w:fill="FFFFFF"/>
          </w:tcPr>
          <w:p>
            <w:pPr>
              <w:spacing w:after="60"/>
            </w:pPr>
            <w:r>
              <w:rPr>
                <w:b/>
                <w:i w:val="0"/>
                <w:sz w:val="22"/>
              </w:rPr>
              <w:t>Fine pale stippling or webbing</w:t>
            </w:r>
          </w:p>
        </w:tc>
        <w:tc>
          <w:tcPr>
            <w:tcW w:type="dxa" w:w="5083"/>
            <w:vAlign w:val="center"/>
            <w:shd w:fill="FFFFFF"/>
          </w:tcPr>
          <w:p>
            <w:pPr>
              <w:spacing w:after="60"/>
            </w:pPr>
            <w:r>
              <w:rPr>
                <w:b w:val="0"/>
                <w:i w:val="0"/>
                <w:sz w:val="22"/>
              </w:rPr>
              <w:t>Spider mites - isolate, wash foliage, and treat promptly.</w:t>
            </w:r>
          </w:p>
        </w:tc>
      </w:tr>
      <w:tr>
        <w:trPr>
          <w:cantSplit/>
        </w:trPr>
        <w:tc>
          <w:tcPr>
            <w:tcW w:type="dxa" w:w="5083"/>
            <w:vAlign w:val="center"/>
            <w:shd w:fill="FFFFFF"/>
          </w:tcPr>
          <w:p>
            <w:pPr>
              <w:spacing w:after="60"/>
            </w:pPr>
            <w:r>
              <w:rPr>
                <w:b/>
                <w:i w:val="0"/>
                <w:sz w:val="22"/>
              </w:rPr>
              <w:t>Sudden leaf drop</w:t>
            </w:r>
          </w:p>
        </w:tc>
        <w:tc>
          <w:tcPr>
            <w:tcW w:type="dxa" w:w="5083"/>
            <w:vAlign w:val="center"/>
            <w:shd w:fill="FFFFFF"/>
          </w:tcPr>
          <w:p>
            <w:pPr>
              <w:spacing w:after="60"/>
            </w:pPr>
            <w:r>
              <w:rPr>
                <w:b w:val="0"/>
                <w:i w:val="0"/>
                <w:sz w:val="22"/>
              </w:rPr>
              <w:t>Check for cold drafts, abrupt relocation, drought, or prolonged wetness.</w:t>
            </w:r>
          </w:p>
        </w:tc>
      </w:tr>
    </w:tbl>
    <w:p>
      <w:pPr>
        <w:spacing w:after="20"/>
      </w:pPr>
    </w:p>
    <w:p>
      <w:pPr>
        <w:pStyle w:val="Heading2"/>
      </w:pPr>
      <w:r>
        <w:t>Environment and Native Habitat</w:t>
      </w:r>
    </w:p>
    <w:p>
      <w:r>
        <w:rPr>
          <w:b w:val="0"/>
          <w:i w:val="0"/>
        </w:rPr>
        <w:t>Ficus elastica is native from Nepal and the eastern Himalaya through parts of southern China and mainland Southeast Asia to western Malesia. Kew places it primarily in the wet tropical biome. In nature it grows into a large forest tree and can develop aerial roots, buttresses, and massive structural roots.</w:t>
      </w:r>
    </w:p>
    <w:p>
      <w:r>
        <w:rPr>
          <w:b w:val="0"/>
          <w:i w:val="0"/>
        </w:rPr>
        <w:t>That ecology explains indoor care: provide warmth, bright filtered light, periodic thorough wetting followed by drainage and aeration, and a root zone rich in organic material but never stagnant or waterlogged.</w:t>
      </w:r>
    </w:p>
    <w:p>
      <w:pPr>
        <w:pStyle w:val="Heading2"/>
      </w:pPr>
      <w:r>
        <w:t>Ecology and Status</w:t>
      </w:r>
    </w:p>
    <w:p>
      <w:r>
        <w:rPr>
          <w:b w:val="0"/>
          <w:i w:val="0"/>
        </w:rPr>
        <w:t>Rubber plant is not native to Indiana and is grown here as an indoor ornamental. Freezing temperatures prevent outdoor persistence in Lafayette. In frost-free regions outside its native range it can occasionally naturalize, so unwanted material should be disposed of responsibly rather than planted in natural areas.</w:t>
      </w:r>
    </w:p>
    <w:p>
      <w:pPr>
        <w:pStyle w:val="Heading2"/>
      </w:pPr>
      <w:r>
        <w:t>Safety</w:t>
      </w:r>
    </w:p>
    <w:p>
      <w:r>
        <w:rPr>
          <w:b w:val="0"/>
          <w:i w:val="0"/>
        </w:rPr>
        <w:t>Rubber plant is not edible. Milky latex can irritate skin and eyes, and the plant is toxic to cats and dogs if chewed. Keep the plant and pruned material away from children and pets. Wear gloves for pruning, avoid touching the face, and wash hands and tools afterward. Seek veterinary or medical advice after significant exposure or concerning symptoms.</w:t>
      </w:r>
    </w:p>
    <w:p>
      <w:pPr>
        <w:pStyle w:val="Heading2"/>
      </w:pPr>
      <w:r>
        <w:t>Precautions for Bleeding Sap</w:t>
      </w:r>
    </w:p>
    <w:p>
      <w:pPr>
        <w:pStyle w:val="ListBullet"/>
      </w:pPr>
      <w:r>
        <w:rPr>
          <w:b w:val="0"/>
          <w:i w:val="0"/>
        </w:rPr>
        <w:t>Before cutting, wear nitrile or other waterproof gloves and eye protection. Cover nearby floors, furniture, and clothing; latex can drip, smear, and stain.</w:t>
      </w:r>
    </w:p>
    <w:p>
      <w:pPr>
        <w:pStyle w:val="ListBullet"/>
      </w:pPr>
      <w:r>
        <w:rPr>
          <w:b w:val="0"/>
          <w:i w:val="0"/>
        </w:rPr>
        <w:t>Use clean, sharp pruners. Hold an absorbent disposable towel beneath the cut and blot gently. Do not rub sap across the stem or leaf.</w:t>
      </w:r>
    </w:p>
    <w:p>
      <w:pPr>
        <w:pStyle w:val="ListBullet"/>
      </w:pPr>
      <w:r>
        <w:rPr>
          <w:b w:val="0"/>
          <w:i w:val="0"/>
        </w:rPr>
        <w:t>Allow the cut to stop bleeding and air-dry. Do not seal the wound with paint, wax, or household adhesive.</w:t>
      </w:r>
    </w:p>
    <w:p>
      <w:pPr>
        <w:pStyle w:val="ListBullet"/>
      </w:pPr>
      <w:r>
        <w:rPr>
          <w:b w:val="0"/>
          <w:i w:val="0"/>
        </w:rPr>
        <w:t>Keep children and pets away until the cut surface is dry, then bag discarded leaves and towels before disposal.</w:t>
      </w:r>
    </w:p>
    <w:p>
      <w:pPr>
        <w:pStyle w:val="ListBullet"/>
      </w:pPr>
      <w:r>
        <w:rPr>
          <w:b w:val="0"/>
          <w:i w:val="0"/>
        </w:rPr>
        <w:t>Skin contact: wash promptly with soap and water. Eye contact: rinse gently with clean lukewarm water for at least 15 minutes, remove contact lenses if easy, and seek medical advice if irritation persists or vision changes.</w:t>
      </w:r>
    </w:p>
    <w:p>
      <w:pPr>
        <w:pStyle w:val="ListBullet"/>
      </w:pPr>
      <w:r>
        <w:rPr>
          <w:b w:val="0"/>
          <w:i w:val="0"/>
        </w:rPr>
        <w:t>If sap is swallowed or a pet chews the plant, rinse the mouth, do not induce vomiting unless directed by a clinician or veterinarian, and contact poison control, a clinician, or a veterinarian for guidance.</w:t>
      </w:r>
    </w:p>
    <w:p>
      <w:pPr>
        <w:pStyle w:val="Heading2"/>
      </w:pPr>
      <w:r>
        <w:t>Seasonal Routine</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Season</w:t>
            </w:r>
          </w:p>
        </w:tc>
        <w:tc>
          <w:tcPr>
            <w:tcW w:type="dxa" w:w="5083"/>
            <w:vAlign w:val="center"/>
            <w:shd w:fill="E9EDF0"/>
          </w:tcPr>
          <w:p>
            <w:pPr>
              <w:spacing w:after="60"/>
            </w:pPr>
            <w:r>
              <w:rPr>
                <w:b/>
                <w:i w:val="0"/>
                <w:sz w:val="22"/>
              </w:rPr>
              <w:t>Routine</w:t>
            </w:r>
          </w:p>
        </w:tc>
      </w:tr>
      <w:tr>
        <w:trPr>
          <w:cantSplit/>
        </w:trPr>
        <w:tc>
          <w:tcPr>
            <w:tcW w:type="dxa" w:w="5083"/>
            <w:vAlign w:val="center"/>
            <w:shd w:fill="FFFFFF"/>
          </w:tcPr>
          <w:p>
            <w:pPr>
              <w:spacing w:after="60"/>
            </w:pPr>
            <w:r>
              <w:rPr>
                <w:b/>
                <w:i w:val="0"/>
                <w:sz w:val="22"/>
              </w:rPr>
              <w:t>Spring</w:t>
            </w:r>
          </w:p>
        </w:tc>
        <w:tc>
          <w:tcPr>
            <w:tcW w:type="dxa" w:w="5083"/>
            <w:vAlign w:val="center"/>
            <w:shd w:fill="FFFFFF"/>
          </w:tcPr>
          <w:p>
            <w:pPr>
              <w:spacing w:after="60"/>
            </w:pPr>
            <w:r>
              <w:rPr>
                <w:b w:val="0"/>
                <w:i w:val="0"/>
                <w:sz w:val="22"/>
              </w:rPr>
              <w:t>Increase watering as growth resumes; repot or prune if needed; restart dilute fertilizer.</w:t>
            </w:r>
          </w:p>
        </w:tc>
      </w:tr>
      <w:tr>
        <w:trPr>
          <w:cantSplit/>
        </w:trPr>
        <w:tc>
          <w:tcPr>
            <w:tcW w:type="dxa" w:w="5083"/>
            <w:vAlign w:val="center"/>
            <w:shd w:fill="FFFFFF"/>
          </w:tcPr>
          <w:p>
            <w:pPr>
              <w:spacing w:after="60"/>
            </w:pPr>
            <w:r>
              <w:rPr>
                <w:b/>
                <w:i w:val="0"/>
                <w:sz w:val="22"/>
              </w:rPr>
              <w:t>Summer</w:t>
            </w:r>
          </w:p>
        </w:tc>
        <w:tc>
          <w:tcPr>
            <w:tcW w:type="dxa" w:w="5083"/>
            <w:vAlign w:val="center"/>
            <w:shd w:fill="FFFFFF"/>
          </w:tcPr>
          <w:p>
            <w:pPr>
              <w:spacing w:after="60"/>
            </w:pPr>
            <w:r>
              <w:rPr>
                <w:b w:val="0"/>
                <w:i w:val="0"/>
                <w:sz w:val="22"/>
              </w:rPr>
              <w:t>Maintain bright filtered light and regular wet-dry cycles; monitor mites and scale.</w:t>
            </w:r>
          </w:p>
        </w:tc>
      </w:tr>
      <w:tr>
        <w:trPr>
          <w:cantSplit/>
        </w:trPr>
        <w:tc>
          <w:tcPr>
            <w:tcW w:type="dxa" w:w="5083"/>
            <w:vAlign w:val="center"/>
            <w:shd w:fill="FFFFFF"/>
          </w:tcPr>
          <w:p>
            <w:pPr>
              <w:spacing w:after="60"/>
            </w:pPr>
            <w:r>
              <w:rPr>
                <w:b/>
                <w:i w:val="0"/>
                <w:sz w:val="22"/>
              </w:rPr>
              <w:t>Autumn</w:t>
            </w:r>
          </w:p>
        </w:tc>
        <w:tc>
          <w:tcPr>
            <w:tcW w:type="dxa" w:w="5083"/>
            <w:vAlign w:val="center"/>
            <w:shd w:fill="FFFFFF"/>
          </w:tcPr>
          <w:p>
            <w:pPr>
              <w:spacing w:after="60"/>
            </w:pPr>
            <w:r>
              <w:rPr>
                <w:b w:val="0"/>
                <w:i w:val="0"/>
                <w:sz w:val="22"/>
              </w:rPr>
              <w:t>As indoor light declines, allow a longer drying interval and reduce fertilizer.</w:t>
            </w:r>
          </w:p>
        </w:tc>
      </w:tr>
      <w:tr>
        <w:trPr>
          <w:cantSplit/>
        </w:trPr>
        <w:tc>
          <w:tcPr>
            <w:tcW w:type="dxa" w:w="5083"/>
            <w:vAlign w:val="center"/>
            <w:shd w:fill="FFFFFF"/>
          </w:tcPr>
          <w:p>
            <w:pPr>
              <w:spacing w:after="60"/>
            </w:pPr>
            <w:r>
              <w:rPr>
                <w:b/>
                <w:i w:val="0"/>
                <w:sz w:val="22"/>
              </w:rPr>
              <w:t>Winter</w:t>
            </w:r>
          </w:p>
        </w:tc>
        <w:tc>
          <w:tcPr>
            <w:tcW w:type="dxa" w:w="5083"/>
            <w:vAlign w:val="center"/>
            <w:shd w:fill="FFFFFF"/>
          </w:tcPr>
          <w:p>
            <w:pPr>
              <w:spacing w:after="60"/>
            </w:pPr>
            <w:r>
              <w:rPr>
                <w:b w:val="0"/>
                <w:i w:val="0"/>
                <w:sz w:val="22"/>
              </w:rPr>
              <w:t>Prioritize light, warmth, and root aeration; water less often; do not force growth.</w:t>
            </w:r>
          </w:p>
        </w:tc>
      </w:tr>
    </w:tbl>
    <w:p>
      <w:pPr>
        <w:spacing w:after="20"/>
      </w:pPr>
    </w:p>
    <w:p>
      <w:pPr>
        <w:pStyle w:val="Heading2"/>
      </w:pPr>
      <w:r>
        <w:t>References and Verification</w:t>
      </w:r>
    </w:p>
    <w:p>
      <w:pPr>
        <w:pStyle w:val="ListBullet"/>
      </w:pPr>
      <w:r>
        <w:rPr>
          <w:b w:val="0"/>
          <w:i w:val="0"/>
        </w:rPr>
        <w:t>Royal Botanic Gardens, Kew. Plants of the World Online: Ficus elastica - accepted name, native range, and wet-tropical biome.</w:t>
      </w:r>
    </w:p>
    <w:p>
      <w:pPr>
        <w:pStyle w:val="ListBullet"/>
      </w:pPr>
      <w:r>
        <w:rPr>
          <w:b w:val="0"/>
          <w:i w:val="0"/>
        </w:rPr>
        <w:t>North Carolina State Extension Gardener Plant Toolbox. Ficus elastica - identification, culture, and safety.</w:t>
      </w:r>
    </w:p>
    <w:p>
      <w:pPr>
        <w:pStyle w:val="ListBullet"/>
      </w:pPr>
      <w:r>
        <w:rPr>
          <w:b w:val="0"/>
          <w:i w:val="0"/>
        </w:rPr>
        <w:t>Missouri Botanical Garden Plant Finder. Ficus elastica - indoor culture and growth characteristics.</w:t>
      </w:r>
    </w:p>
    <w:p>
      <w:pPr>
        <w:pStyle w:val="ListBullet"/>
      </w:pPr>
      <w:r>
        <w:rPr>
          <w:b w:val="0"/>
          <w:i w:val="0"/>
        </w:rPr>
        <w:t>ASPCA Animal Poison Control. Rubber Plant, Indian - toxicity to cats and dogs.</w:t>
      </w:r>
    </w:p>
    <w:p>
      <w:pPr>
        <w:pStyle w:val="ListBullet"/>
      </w:pPr>
      <w:r>
        <w:rPr>
          <w:b w:val="0"/>
          <w:i w:val="0"/>
        </w:rPr>
        <w:t>Wikimedia Commons file pages for all four photographs - creator, license, and source documentation.</w:t>
      </w:r>
    </w:p>
    <w:p>
      <w:r>
        <w:rPr>
          <w:b w:val="0"/>
          <w:i w:val="0"/>
        </w:rPr>
        <w:t>Taxonomy and distribution reviewed 2026-09-16. Cultivation recommendations are intended for ordinary indoor culture in Lafayette, Indiana, and should be adjusted for the actual light, temperature, container, and root condition.</w:t>
      </w:r>
    </w:p>
    <w:p>
      <w:pPr>
        <w:pStyle w:val="ListBullet"/>
      </w:pPr>
      <w:r>
        <w:rPr>
          <w:b w:val="0"/>
          <w:i w:val="0"/>
        </w:rPr>
        <w:t>Whole plant: Ficus elastica (rubber plant), Karlfonza, CC BY-SA 4.0.</w:t>
      </w:r>
    </w:p>
    <w:p>
      <w:pPr>
        <w:pStyle w:val="ListBullet"/>
      </w:pPr>
      <w:r>
        <w:rPr>
          <w:b w:val="0"/>
          <w:i w:val="0"/>
        </w:rPr>
        <w:t>Reproductive structures: Ficus elastica syconia, Yercaud-elango, CC BY-SA 4.0.</w:t>
      </w:r>
    </w:p>
    <w:p>
      <w:pPr>
        <w:pStyle w:val="ListBullet"/>
      </w:pPr>
      <w:r>
        <w:rPr>
          <w:b w:val="0"/>
          <w:i w:val="0"/>
        </w:rPr>
        <w:t>Native-habitat detail: Ancient Root Bridge, Mawlynnong, Ritika74, CC BY-SA 4.0.</w:t>
      </w:r>
    </w:p>
    <w:p>
      <w:pPr>
        <w:pStyle w:val="ListBullet"/>
      </w:pPr>
      <w:r>
        <w:rPr>
          <w:b w:val="0"/>
          <w:i w:val="0"/>
        </w:rPr>
        <w:t>Native-habitat landscape: Mawlynnong living-root bridge, Sujan Bandyopadhyay, CC BY-SA 4.0.</w:t>
      </w:r>
    </w:p>
    <w:p>
      <w:pPr>
        <w:pStyle w:val="ListBullet"/>
      </w:pPr>
      <w:r>
        <w:rPr>
          <w:b w:val="0"/>
          <w:i w:val="0"/>
        </w:rPr>
        <w:t>Photographs were cropped and scaled for page layout. Creative Commons attribution and share-alike terms remain applicable.</w:t>
      </w:r>
    </w:p>
    <w:p>
      <w:pPr>
        <w:pStyle w:val="Heading2"/>
      </w:pPr>
      <w:r>
        <w:t>Current Standard mix</w:t>
      </w:r>
    </w:p>
    <w:p>
      <w:r>
        <w:rPr>
          <w:b w:val="0"/>
          <w:i w:val="0"/>
        </w:rPr>
        <w:t>Tropical Foliage Standard Mix: 1 part generic potting soil + 1 part coarse perlite, by volume.</w:t>
      </w:r>
    </w:p>
    <w:p>
      <w:r>
        <w:rPr>
          <w:b w:val="0"/>
          <w:i w:val="0"/>
        </w:rPr>
        <w:t>Mix by volume without compression and keep the drainage hole open. Match watering to the species and root-zone drying. These are container recipes, not replacements for outdoor bed soil.</w:t>
      </w:r>
    </w:p>
    <w:p>
      <w:hyperlink r:id="rId12">
        <w:r>
          <w:rPr>
            <w:color w:val="245B43"/>
            <w:u w:val="single"/>
          </w:rPr>
          <w:t>NC State Extension — ficus elastica</w:t>
        </w:r>
      </w:hyperlink>
    </w:p>
    <w:p>
      <w:r>
        <w:rPr>
          <w:b w:val="0"/>
          <w:i w:val="0"/>
        </w:rPr>
        <w:t xml:space="preserve">Added September 22, 2026 · </w:t>
      </w:r>
      <w:hyperlink r:id="rId13">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14">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rubber-plant/" TargetMode="External"/><Relationship Id="rId12" Type="http://schemas.openxmlformats.org/officeDocument/2006/relationships/hyperlink" Target="https://plants.ces.ncsu.edu/plants/ficus-elastica/" TargetMode="External"/><Relationship Id="rId13" Type="http://schemas.openxmlformats.org/officeDocument/2006/relationships/hyperlink" Target="https://planteducationproject.com/information-sheets/master-index/" TargetMode="External"/><Relationship Id="rId14" Type="http://schemas.openxmlformats.org/officeDocument/2006/relationships/hyperlink" Target="https://creativecommons.org/licenses/by-nc/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rubber plant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