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Pteris Ferns</w:t>
      </w:r>
    </w:p>
    <w:p>
      <w:pPr>
        <w:spacing w:after="320"/>
      </w:pPr>
      <w:r>
        <w:t>Combined Information Sheets</w:t>
      </w:r>
    </w:p>
    <w:p>
      <w:pPr>
        <w:pStyle w:val="Heading1"/>
      </w:pPr>
      <w:r>
        <w:t>Pteris Ferns</w:t>
      </w:r>
    </w:p>
    <w:p>
      <w:r>
        <w:rPr>
          <w:b/>
        </w:rPr>
        <w:t xml:space="preserve">Online Information Sheet: </w:t>
      </w:r>
      <w:hyperlink r:id="rId11">
        <w:r>
          <w:rPr>
            <w:color w:val="245B43"/>
            <w:u w:val="single"/>
          </w:rPr>
          <w:t>planteducationproject.com/pteris-ferns/</w:t>
        </w:r>
      </w:hyperlink>
    </w:p>
    <w:p>
      <w:r>
        <w:rPr>
          <w:b w:val="0"/>
          <w:i w:val="0"/>
        </w:rPr>
        <w:t>🌿 Plant Information Sheet</w:t>
      </w:r>
    </w:p>
    <w:p>
      <w:r>
        <w:rPr>
          <w:b w:val="0"/>
          <w:i/>
        </w:rPr>
        <w:t>Pteris spp. (Pteridaceae) — brake, ribbon, and table ferns</w:t>
      </w:r>
    </w:p>
    <w:p>
      <w:r>
        <w:rPr>
          <w:b w:val="0"/>
          <w:i/>
        </w:rPr>
        <w:t>Prepared for the Plant Education Project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To understand the care of a plant, understand its native climate and environment.</w:t>
            </w:r>
          </w:p>
        </w:tc>
      </w:tr>
    </w:tbl>
    <w:p>
      <w:pPr>
        <w:spacing w:after="20"/>
      </w:pP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KEY RULE  </w:t>
            </w:r>
            <w:r>
              <w:rPr>
                <w:b/>
                <w:i/>
                <w:sz w:val="22"/>
              </w:rPr>
              <w:t>Keep the mix evenly moist - never waterlogged - and protect fronds from hot sun, dry heat, and cold drafts.</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Not verified. The tag identifies only Pteris, not a species.</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Species dependent; no U.S.-native conclusion is assigned to the unidentified nursery plant.</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Species dependent; some Pteris naturalize outside their native range.</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Ferns have spores, not seeds.</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food use established here. Do not eat ornamental plants or equate a non-toxic classification with edibility.</w:t>
            </w:r>
          </w:p>
        </w:tc>
      </w:tr>
    </w:tbl>
    <w:p>
      <w:pPr>
        <w:spacing w:after="20"/>
      </w:pP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CARE FACTOR</w:t>
            </w:r>
          </w:p>
        </w:tc>
        <w:tc>
          <w:tcPr>
            <w:tcW w:type="dxa" w:w="5083"/>
            <w:vAlign w:val="center"/>
            <w:shd w:fill="E9EDF0"/>
          </w:tcPr>
          <w:p>
            <w:pPr>
              <w:spacing w:after="60"/>
            </w:pPr>
            <w:r>
              <w:rPr>
                <w:b/>
                <w:i/>
                <w:sz w:val="22"/>
              </w:rPr>
              <w:t>PRACTICAL GUIDANCE</w:t>
            </w:r>
          </w:p>
        </w:tc>
      </w:tr>
      <w:tr>
        <w:trPr>
          <w:cantSplit/>
        </w:trPr>
        <w:tc>
          <w:tcPr>
            <w:tcW w:type="dxa" w:w="5083"/>
            <w:vAlign w:val="center"/>
            <w:shd w:fill="FFFFFF"/>
          </w:tcPr>
          <w:p>
            <w:pPr>
              <w:spacing w:after="60"/>
            </w:pPr>
            <w:r>
              <w:rPr>
                <w:b/>
                <w:i/>
                <w:sz w:val="22"/>
              </w:rPr>
              <w:t>Light</w:t>
            </w:r>
          </w:p>
        </w:tc>
        <w:tc>
          <w:tcPr>
            <w:tcW w:type="dxa" w:w="5083"/>
            <w:vAlign w:val="center"/>
            <w:shd w:fill="FFFFFF"/>
          </w:tcPr>
          <w:p>
            <w:pPr>
              <w:spacing w:after="60"/>
            </w:pPr>
            <w:r>
              <w:rPr>
                <w:b w:val="0"/>
                <w:i/>
                <w:sz w:val="22"/>
              </w:rPr>
              <w:t>Medium to bright indirect light. Gentle early-morning sun may be tolerated; avoid hot afternoon sun.</w:t>
            </w:r>
          </w:p>
        </w:tc>
      </w:tr>
      <w:tr>
        <w:trPr>
          <w:cantSplit/>
        </w:trPr>
        <w:tc>
          <w:tcPr>
            <w:tcW w:type="dxa" w:w="5083"/>
            <w:vAlign w:val="center"/>
            <w:shd w:fill="FFFFFF"/>
          </w:tcPr>
          <w:p>
            <w:pPr>
              <w:spacing w:after="60"/>
            </w:pPr>
            <w:r>
              <w:rPr>
                <w:b/>
                <w:i/>
                <w:sz w:val="22"/>
              </w:rPr>
              <w:t>Temperature</w:t>
            </w:r>
          </w:p>
        </w:tc>
        <w:tc>
          <w:tcPr>
            <w:tcW w:type="dxa" w:w="5083"/>
            <w:vAlign w:val="center"/>
            <w:shd w:fill="FFFFFF"/>
          </w:tcPr>
          <w:p>
            <w:pPr>
              <w:spacing w:after="60"/>
            </w:pPr>
            <w:r>
              <w:rPr>
                <w:b w:val="0"/>
                <w:i/>
                <w:sz w:val="22"/>
              </w:rPr>
              <w:t>55-80°F (13-27°C). Keep away from heating vents, air-conditioning drafts, and cold window glass.</w:t>
            </w:r>
          </w:p>
        </w:tc>
      </w:tr>
      <w:tr>
        <w:trPr>
          <w:cantSplit/>
        </w:trPr>
        <w:tc>
          <w:tcPr>
            <w:tcW w:type="dxa" w:w="5083"/>
            <w:vAlign w:val="center"/>
            <w:shd w:fill="FFFFFF"/>
          </w:tcPr>
          <w:p>
            <w:pPr>
              <w:spacing w:after="60"/>
            </w:pPr>
            <w:r>
              <w:rPr>
                <w:b/>
                <w:i/>
                <w:sz w:val="22"/>
              </w:rPr>
              <w:t>Humidity</w:t>
            </w:r>
          </w:p>
        </w:tc>
        <w:tc>
          <w:tcPr>
            <w:tcW w:type="dxa" w:w="5083"/>
            <w:vAlign w:val="center"/>
            <w:shd w:fill="FFFFFF"/>
          </w:tcPr>
          <w:p>
            <w:pPr>
              <w:spacing w:after="60"/>
            </w:pPr>
            <w:r>
              <w:rPr>
                <w:b w:val="0"/>
                <w:i/>
                <w:sz w:val="22"/>
              </w:rPr>
              <w:t>Moderate to high; aim for at least 50% with gentle air circulation.</w:t>
            </w:r>
          </w:p>
        </w:tc>
      </w:tr>
      <w:tr>
        <w:trPr>
          <w:cantSplit/>
        </w:trPr>
        <w:tc>
          <w:tcPr>
            <w:tcW w:type="dxa" w:w="5083"/>
            <w:vAlign w:val="center"/>
            <w:shd w:fill="FFFFFF"/>
          </w:tcPr>
          <w:p>
            <w:pPr>
              <w:spacing w:after="60"/>
            </w:pPr>
            <w:r>
              <w:rPr>
                <w:b/>
                <w:i/>
                <w:sz w:val="22"/>
              </w:rPr>
              <w:t>Water</w:t>
            </w:r>
          </w:p>
        </w:tc>
        <w:tc>
          <w:tcPr>
            <w:tcW w:type="dxa" w:w="5083"/>
            <w:vAlign w:val="center"/>
            <w:shd w:fill="FFFFFF"/>
          </w:tcPr>
          <w:p>
            <w:pPr>
              <w:spacing w:after="60"/>
            </w:pPr>
            <w:r>
              <w:rPr>
                <w:b w:val="0"/>
                <w:i/>
                <w:sz w:val="22"/>
              </w:rPr>
              <w:t>Water when the surface just begins to lose moisture, before the root ball dries. Drain fully.</w:t>
            </w:r>
          </w:p>
        </w:tc>
      </w:tr>
      <w:tr>
        <w:trPr>
          <w:cantSplit/>
        </w:trPr>
        <w:tc>
          <w:tcPr>
            <w:tcW w:type="dxa" w:w="5083"/>
            <w:vAlign w:val="center"/>
            <w:shd w:fill="FFFFFF"/>
          </w:tcPr>
          <w:p>
            <w:pPr>
              <w:spacing w:after="60"/>
            </w:pPr>
            <w:r>
              <w:rPr>
                <w:b/>
                <w:i/>
                <w:sz w:val="22"/>
              </w:rPr>
              <w:t>Feeding</w:t>
            </w:r>
          </w:p>
        </w:tc>
        <w:tc>
          <w:tcPr>
            <w:tcW w:type="dxa" w:w="5083"/>
            <w:vAlign w:val="center"/>
            <w:shd w:fill="FFFFFF"/>
          </w:tcPr>
          <w:p>
            <w:pPr>
              <w:spacing w:after="60"/>
            </w:pPr>
            <w:r>
              <w:rPr>
                <w:b w:val="0"/>
                <w:i/>
                <w:sz w:val="22"/>
              </w:rPr>
              <w:t>Half-strength balanced liquid fertilizer every 4-6 weeks during active growth; little or none in winter.</w:t>
            </w:r>
          </w:p>
        </w:tc>
      </w:tr>
      <w:tr>
        <w:trPr>
          <w:cantSplit/>
        </w:trPr>
        <w:tc>
          <w:tcPr>
            <w:tcW w:type="dxa" w:w="5083"/>
            <w:vAlign w:val="center"/>
            <w:shd w:fill="FFFFFF"/>
          </w:tcPr>
          <w:p>
            <w:pPr>
              <w:spacing w:after="60"/>
            </w:pPr>
            <w:r>
              <w:rPr>
                <w:b/>
                <w:i/>
                <w:sz w:val="22"/>
              </w:rPr>
              <w:t>Growth</w:t>
            </w:r>
          </w:p>
        </w:tc>
        <w:tc>
          <w:tcPr>
            <w:tcW w:type="dxa" w:w="5083"/>
            <w:vAlign w:val="center"/>
            <w:shd w:fill="FFFFFF"/>
          </w:tcPr>
          <w:p>
            <w:pPr>
              <w:spacing w:after="60"/>
            </w:pPr>
            <w:r>
              <w:rPr>
                <w:b w:val="0"/>
                <w:i/>
                <w:sz w:val="22"/>
              </w:rPr>
              <w:t>Rhizomatous fern producing fronds and spores, not flowers or seeds.</w:t>
            </w:r>
          </w:p>
        </w:tc>
      </w:tr>
    </w:tbl>
    <w:p>
      <w:pPr>
        <w:spacing w:after="20"/>
      </w:pPr>
    </w:p>
    <w:p>
      <w:pPr>
        <w:pStyle w:val="Heading2"/>
      </w:pPr>
      <w:r>
        <w:t>Standard Moist Tropical / Fern Mix</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Tropical Foliage Standard Mix: 1 part generic potting soil + 1 part coarse perlite, by volume.</w:t>
            </w:r>
            <w:r>
              <w:rPr>
                <w:b/>
                <w:i w:val="0"/>
                <w:sz w:val="22"/>
              </w:rPr>
              <w:t>This coir-free, bark-free mix keeps moisture available while preserving air space. Use a pot with a drainage hole and do not compress the mix.</w:t>
            </w:r>
          </w:p>
        </w:tc>
      </w:tr>
    </w:tbl>
    <w:p>
      <w:pPr>
        <w:spacing w:after="20"/>
      </w:pPr>
    </w:p>
    <w:p>
      <w:pPr>
        <w:pStyle w:val="Heading2"/>
      </w:pPr>
      <w:r>
        <w:t>Watering routine</w:t>
      </w:r>
    </w:p>
    <w:p>
      <w:pPr>
        <w:pStyle w:val="ListBullet"/>
      </w:pPr>
      <w:r>
        <w:rPr>
          <w:b w:val="0"/>
          <w:i w:val="0"/>
        </w:rPr>
        <w:t>Check the mix about 1/2 inch below the surface. Water when it is beginning to feel less moist, not after it becomes dry and hard.</w:t>
      </w:r>
    </w:p>
    <w:p>
      <w:pPr>
        <w:pStyle w:val="ListBullet"/>
      </w:pPr>
      <w:r>
        <w:rPr>
          <w:b w:val="0"/>
          <w:i w:val="0"/>
        </w:rPr>
        <w:t>Water thoroughly until drainage appears, then empty the saucer. Repeated small sips can leave part of the root ball dry and the lower portion sour.</w:t>
      </w:r>
    </w:p>
    <w:p>
      <w:pPr>
        <w:pStyle w:val="ListBullet"/>
      </w:pPr>
      <w:r>
        <w:rPr>
          <w:b w:val="0"/>
          <w:i w:val="0"/>
        </w:rPr>
        <w:t>If the fern wilts from dryness, water promptly and raise humidity, but never leave the pot standing in water. Damaged fronds may not recover.</w:t>
      </w:r>
    </w:p>
    <w:p>
      <w:pPr>
        <w:pStyle w:val="ListBullet"/>
      </w:pPr>
      <w:r>
        <w:rPr>
          <w:b w:val="0"/>
          <w:i w:val="0"/>
        </w:rPr>
        <w:t>Try rainwater, distilled water, or another low-mineral source if tips repeatedly brown despite correct moisture and humidity.</w:t>
      </w:r>
    </w:p>
    <w:p>
      <w:pPr>
        <w:pStyle w:val="Heading2"/>
      </w:pPr>
      <w:r>
        <w:t>Routine care</w:t>
      </w:r>
    </w:p>
    <w:p>
      <w:pPr>
        <w:pStyle w:val="ListBullet"/>
      </w:pPr>
      <w:r>
        <w:rPr>
          <w:b w:val="0"/>
          <w:i w:val="0"/>
        </w:rPr>
        <w:t>Remove yellow, damaged, or dead fronds at the base with clean scissors.</w:t>
      </w:r>
    </w:p>
    <w:p>
      <w:pPr>
        <w:pStyle w:val="ListBullet"/>
      </w:pPr>
      <w:r>
        <w:rPr>
          <w:b w:val="0"/>
          <w:i w:val="0"/>
        </w:rPr>
        <w:t>Rotate the pot one-quarter turn weekly for even growth, but avoid constant relocation.</w:t>
      </w:r>
    </w:p>
    <w:p>
      <w:pPr>
        <w:pStyle w:val="ListBullet"/>
      </w:pPr>
      <w:r>
        <w:rPr>
          <w:b w:val="0"/>
          <w:i w:val="0"/>
        </w:rPr>
        <w:t>Repot in spring when rhizomes crowd the surface or water races through a rootbound pot. Increase only one pot size.</w:t>
      </w:r>
    </w:p>
    <w:p>
      <w:pPr>
        <w:pStyle w:val="ListBullet"/>
      </w:pPr>
      <w:r>
        <w:rPr>
          <w:b w:val="0"/>
          <w:i w:val="0"/>
        </w:rPr>
        <w:t>Use a room humidifier or grouped plants for meaningful humidity. Pebble trays usually have little effect beyond their immediate surface.</w:t>
      </w:r>
    </w:p>
    <w:p>
      <w:pPr>
        <w:pStyle w:val="Heading2"/>
      </w:pPr>
      <w:r>
        <w:t>Flowering, Spores, and Propagation</w:t>
      </w:r>
    </w:p>
    <w:p>
      <w:pPr>
        <w:pStyle w:val="ListBullet"/>
      </w:pPr>
      <w:r>
        <w:rPr>
          <w:b w:val="0"/>
          <w:i w:val="0"/>
        </w:rPr>
        <w:t>Flowering: none. Pteris is a fern and therefore produces neither flowers nor seeds. The brown lines or bands along fertile frond margins contain spores and are normal reproductive structures.</w:t>
      </w:r>
    </w:p>
    <w:p>
      <w:pPr>
        <w:pStyle w:val="ListBullet"/>
      </w:pPr>
      <w:r>
        <w:rPr>
          <w:b w:val="0"/>
          <w:i w:val="0"/>
        </w:rPr>
        <w:t>Division is the practical home method. In spring, separate the rhizome into sections with healthy roots and several fronds, then repot immediately.</w:t>
      </w:r>
    </w:p>
    <w:p>
      <w:pPr>
        <w:pStyle w:val="ListBullet"/>
      </w:pPr>
      <w:r>
        <w:rPr>
          <w:b w:val="0"/>
          <w:i w:val="0"/>
        </w:rPr>
        <w:t>Spore propagation is possible but slow and exacting; it requires clean, continuously moist conditions and a separate gametophyte stage.</w:t>
      </w:r>
    </w:p>
    <w:p>
      <w:pPr>
        <w:pStyle w:val="ListBullet"/>
      </w:pPr>
      <w:r>
        <w:rPr>
          <w:b w:val="0"/>
          <w:i w:val="0"/>
        </w:rPr>
        <w:t>Self-seeding: No. Ferns reproduce by spores, not seeds; volunteer sporophytes can develop under suitable conditions.</w:t>
      </w:r>
    </w:p>
    <w:p>
      <w:pPr>
        <w:pStyle w:val="Heading2"/>
      </w:pPr>
      <w:r>
        <w:t>Troubleshooting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CARE FACTOR</w:t>
            </w:r>
          </w:p>
        </w:tc>
        <w:tc>
          <w:tcPr>
            <w:tcW w:type="dxa" w:w="5083"/>
            <w:vAlign w:val="center"/>
            <w:shd w:fill="E9EDF0"/>
          </w:tcPr>
          <w:p>
            <w:pPr>
              <w:spacing w:after="60"/>
            </w:pPr>
            <w:r>
              <w:rPr>
                <w:b/>
                <w:i/>
                <w:sz w:val="22"/>
              </w:rPr>
              <w:t>PRACTICAL GUIDANCE</w:t>
            </w:r>
          </w:p>
        </w:tc>
      </w:tr>
      <w:tr>
        <w:trPr>
          <w:cantSplit/>
        </w:trPr>
        <w:tc>
          <w:tcPr>
            <w:tcW w:type="dxa" w:w="5083"/>
            <w:vAlign w:val="center"/>
            <w:shd w:fill="FFFFFF"/>
          </w:tcPr>
          <w:p>
            <w:pPr>
              <w:spacing w:after="60"/>
            </w:pPr>
            <w:r>
              <w:rPr>
                <w:b/>
                <w:i/>
                <w:sz w:val="22"/>
              </w:rPr>
              <w:t>Crisp tips / margins</w:t>
            </w:r>
          </w:p>
        </w:tc>
        <w:tc>
          <w:tcPr>
            <w:tcW w:type="dxa" w:w="5083"/>
            <w:vAlign w:val="center"/>
            <w:shd w:fill="FFFFFF"/>
          </w:tcPr>
          <w:p>
            <w:pPr>
              <w:spacing w:after="60"/>
            </w:pPr>
            <w:r>
              <w:rPr>
                <w:b w:val="0"/>
                <w:i/>
                <w:sz w:val="22"/>
              </w:rPr>
              <w:t>Dry air, underwatering, fertilizer salts, or mineral-heavy water.</w:t>
            </w:r>
          </w:p>
        </w:tc>
      </w:tr>
      <w:tr>
        <w:trPr>
          <w:cantSplit/>
        </w:trPr>
        <w:tc>
          <w:tcPr>
            <w:tcW w:type="dxa" w:w="5083"/>
            <w:vAlign w:val="center"/>
            <w:shd w:fill="FFFFFF"/>
          </w:tcPr>
          <w:p>
            <w:pPr>
              <w:spacing w:after="60"/>
            </w:pPr>
            <w:r>
              <w:rPr>
                <w:b/>
                <w:i/>
                <w:sz w:val="22"/>
              </w:rPr>
              <w:t>Yellowing fronds</w:t>
            </w:r>
          </w:p>
        </w:tc>
        <w:tc>
          <w:tcPr>
            <w:tcW w:type="dxa" w:w="5083"/>
            <w:vAlign w:val="center"/>
            <w:shd w:fill="FFFFFF"/>
          </w:tcPr>
          <w:p>
            <w:pPr>
              <w:spacing w:after="60"/>
            </w:pPr>
            <w:r>
              <w:rPr>
                <w:b w:val="0"/>
                <w:i/>
                <w:sz w:val="22"/>
              </w:rPr>
              <w:t>Old age, excessive water, oxygen-poor compacted mix, or inadequate light. Inspect crown and roots.</w:t>
            </w:r>
          </w:p>
        </w:tc>
      </w:tr>
      <w:tr>
        <w:trPr>
          <w:cantSplit/>
        </w:trPr>
        <w:tc>
          <w:tcPr>
            <w:tcW w:type="dxa" w:w="5083"/>
            <w:vAlign w:val="center"/>
            <w:shd w:fill="FFFFFF"/>
          </w:tcPr>
          <w:p>
            <w:pPr>
              <w:spacing w:after="60"/>
            </w:pPr>
            <w:r>
              <w:rPr>
                <w:b/>
                <w:i/>
                <w:sz w:val="22"/>
              </w:rPr>
              <w:t>Pale / scorched fronds</w:t>
            </w:r>
          </w:p>
        </w:tc>
        <w:tc>
          <w:tcPr>
            <w:tcW w:type="dxa" w:w="5083"/>
            <w:vAlign w:val="center"/>
            <w:shd w:fill="FFFFFF"/>
          </w:tcPr>
          <w:p>
            <w:pPr>
              <w:spacing w:after="60"/>
            </w:pPr>
            <w:r>
              <w:rPr>
                <w:b w:val="0"/>
                <w:i/>
                <w:sz w:val="22"/>
              </w:rPr>
              <w:t>Too much direct sun. Move to filtered light.</w:t>
            </w:r>
          </w:p>
        </w:tc>
      </w:tr>
      <w:tr>
        <w:trPr>
          <w:cantSplit/>
        </w:trPr>
        <w:tc>
          <w:tcPr>
            <w:tcW w:type="dxa" w:w="5083"/>
            <w:vAlign w:val="center"/>
            <w:shd w:fill="FFFFFF"/>
          </w:tcPr>
          <w:p>
            <w:pPr>
              <w:spacing w:after="60"/>
            </w:pPr>
            <w:r>
              <w:rPr>
                <w:b/>
                <w:i/>
                <w:sz w:val="22"/>
              </w:rPr>
              <w:t>Sudden collapse</w:t>
            </w:r>
          </w:p>
        </w:tc>
        <w:tc>
          <w:tcPr>
            <w:tcW w:type="dxa" w:w="5083"/>
            <w:vAlign w:val="center"/>
            <w:shd w:fill="FFFFFF"/>
          </w:tcPr>
          <w:p>
            <w:pPr>
              <w:spacing w:after="60"/>
            </w:pPr>
            <w:r>
              <w:rPr>
                <w:b w:val="0"/>
                <w:i/>
                <w:sz w:val="22"/>
              </w:rPr>
              <w:t>A dried root ball, cold injury, or crown/root rot. Check moisture and smell the mix.</w:t>
            </w:r>
          </w:p>
        </w:tc>
      </w:tr>
      <w:tr>
        <w:trPr>
          <w:cantSplit/>
        </w:trPr>
        <w:tc>
          <w:tcPr>
            <w:tcW w:type="dxa" w:w="5083"/>
            <w:vAlign w:val="center"/>
            <w:shd w:fill="FFFFFF"/>
          </w:tcPr>
          <w:p>
            <w:pPr>
              <w:spacing w:after="60"/>
            </w:pPr>
            <w:r>
              <w:rPr>
                <w:b/>
                <w:i/>
                <w:sz w:val="22"/>
              </w:rPr>
              <w:t>Mites / scale</w:t>
            </w:r>
          </w:p>
        </w:tc>
        <w:tc>
          <w:tcPr>
            <w:tcW w:type="dxa" w:w="5083"/>
            <w:vAlign w:val="center"/>
            <w:shd w:fill="FFFFFF"/>
          </w:tcPr>
          <w:p>
            <w:pPr>
              <w:spacing w:after="60"/>
            </w:pPr>
            <w:r>
              <w:rPr>
                <w:b w:val="0"/>
                <w:i/>
                <w:sz w:val="22"/>
              </w:rPr>
              <w:t>Inspect frond undersides. Isolate, wash gently, and test any fern-safe treatment on a small area first.</w:t>
            </w:r>
          </w:p>
        </w:tc>
      </w:tr>
    </w:tbl>
    <w:p>
      <w:pPr>
        <w:spacing w:after="20"/>
      </w:pPr>
    </w:p>
    <w:p>
      <w:pPr>
        <w:pStyle w:val="Heading2"/>
      </w:pPr>
      <w:r>
        <w:t>Environment / Native Habitat</w:t>
      </w:r>
    </w:p>
    <w:p>
      <w:pPr>
        <w:pStyle w:val="ListBullet"/>
      </w:pPr>
      <w:r>
        <w:rPr>
          <w:b w:val="0"/>
          <w:i w:val="0"/>
        </w:rPr>
        <w:t>These habitats explain the care pattern: filtered light, dependable moisture, high root-zone oxygen, warmth, and protection from drying wind.</w:t>
      </w:r>
    </w:p>
    <w:p>
      <w:pPr>
        <w:pStyle w:val="ListBullet"/>
      </w:pPr>
      <w:r>
        <w:rPr>
          <w:b w:val="0"/>
          <w:i w:val="0"/>
        </w:rPr>
        <w:t>The nursery label identifies only the genus. Species-level identification matters because mature size, lime tolerance, frond form, and native range vary widely.</w:t>
      </w:r>
    </w:p>
    <w:p>
      <w:pPr>
        <w:pStyle w:val="Heading2"/>
      </w:pPr>
      <w:r>
        <w:t>Identification note</w:t>
      </w:r>
    </w:p>
    <w:p>
      <w:r>
        <w:rPr>
          <w:b w:val="0"/>
          <w:i w:val="0"/>
        </w:rPr>
        <w:t>The photographed nursery tag says Pteris Ferns but does not name a species or cultivar. The photographs in this Information Sheet therefore show representative members of the genus and should not be used as a species-level identification.</w:t>
      </w:r>
    </w:p>
    <w:p>
      <w:pPr>
        <w:pStyle w:val="ListBullet"/>
      </w:pPr>
      <w:r>
        <w:rPr>
          <w:b w:val="0"/>
          <w:i w:val="0"/>
        </w:rPr>
        <w:t>NC State Extension Plant Toolbox - Pteris: https://plants.ces.ncsu.edu/plants/pteris/</w:t>
      </w:r>
    </w:p>
    <w:p>
      <w:pPr>
        <w:pStyle w:val="ListBullet"/>
      </w:pPr>
      <w:r>
        <w:rPr>
          <w:b w:val="0"/>
          <w:i w:val="0"/>
        </w:rPr>
        <w:t>Royal Botanic Gardens, Kew - Plants of the World Online, Pteris: https://powo.science.kew.org/</w:t>
      </w:r>
    </w:p>
    <w:p>
      <w:pPr>
        <w:pStyle w:val="ListBullet"/>
      </w:pPr>
      <w:r>
        <w:rPr>
          <w:b w:val="0"/>
          <w:i w:val="0"/>
        </w:rPr>
        <w:t>University of Florida IFAS - Houseplant Care: https://gardeningsolutions.ifas.ufl.edu/plants/houseplants/houseplant-care/</w:t>
      </w:r>
    </w:p>
    <w:p>
      <w:pPr>
        <w:pStyle w:val="ListBullet"/>
      </w:pPr>
      <w:r>
        <w:rPr>
          <w:b w:val="0"/>
          <w:i w:val="0"/>
        </w:rPr>
        <w:t>Flora of New Zealand - Pteris cretica: https://www.nzflora.info/factsheet/taxon/Pteris-cretica.html</w:t>
      </w:r>
    </w:p>
    <w:p>
      <w:pPr>
        <w:pStyle w:val="ListBullet"/>
      </w:pPr>
      <w:r>
        <w:rPr>
          <w:b w:val="0"/>
          <w:i w:val="0"/>
        </w:rPr>
        <w:t>Museum of New Zealand Te Papa Tongarewa - Pteris vittata: https://collections.tepapa.govt.nz/object/1404885</w:t>
      </w:r>
    </w:p>
    <w:p>
      <w:pPr>
        <w:pStyle w:val="Heading2"/>
      </w:pPr>
      <w:r>
        <w:t>Current Standard mix</w:t>
      </w:r>
    </w:p>
    <w:p>
      <w:r>
        <w:rPr>
          <w:b w:val="0"/>
          <w:i w:val="0"/>
        </w:rPr>
        <w:t>Tropical Foliage Standard Mix: 1 part generic potting soil + 1 part coarse perlite, by volume.</w:t>
      </w:r>
    </w:p>
    <w:p>
      <w:r>
        <w:rPr>
          <w:b w:val="0"/>
          <w:i w:val="0"/>
        </w:rPr>
        <w:t>Mix by volume without compression and keep the drainage hole open. Match watering to the species and root-zone drying. These are container recipes, not replacements for outdoor bed soil.</w:t>
      </w:r>
    </w:p>
    <w:p>
      <w:hyperlink r:id="rId12">
        <w:r>
          <w:rPr>
            <w:color w:val="245B43"/>
            <w:u w:val="single"/>
          </w:rPr>
          <w:t>NC State Extension — pteris</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pteris-ferns/" TargetMode="External"/><Relationship Id="rId12" Type="http://schemas.openxmlformats.org/officeDocument/2006/relationships/hyperlink" Target="https://plants.ces.ncsu.edu/plants/pteris/"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pteris ferns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