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Miniature Rose</w:t>
      </w:r>
    </w:p>
    <w:p>
      <w:pPr>
        <w:spacing w:after="320"/>
      </w:pPr>
      <w:r>
        <w:t>Combined Information Sheets</w:t>
      </w:r>
    </w:p>
    <w:p>
      <w:pPr>
        <w:pStyle w:val="Heading1"/>
      </w:pPr>
      <w:r>
        <w:t>Miniature Rose</w:t>
      </w:r>
    </w:p>
    <w:p>
      <w:r>
        <w:rPr>
          <w:b/>
        </w:rPr>
        <w:t xml:space="preserve">Online Information Sheet: </w:t>
      </w:r>
      <w:hyperlink r:id="rId11">
        <w:r>
          <w:rPr>
            <w:color w:val="245B43"/>
            <w:u w:val="single"/>
          </w:rPr>
          <w:t>planteducationproject.com/miniature-rose/</w:t>
        </w:r>
      </w:hyperlink>
    </w:p>
    <w:p>
      <w:r>
        <w:rPr>
          <w:b w:val="0"/>
          <w:i w:val="0"/>
        </w:rPr>
        <w:t>🌿 Plant Information Sheet</w:t>
      </w:r>
    </w:p>
    <w:p>
      <w:r>
        <w:rPr>
          <w:b w:val="0"/>
          <w:i/>
        </w:rPr>
        <w:t>Rosa Miniature Group</w:t>
      </w:r>
    </w:p>
    <w:p>
      <w:pPr>
        <w:pStyle w:val="Heading2"/>
      </w:pPr>
      <w:r>
        <w:t>“To understand the care of a plant, understand its native climate and environment.”</w:t>
      </w:r>
    </w:p>
    <w:p>
      <w:pPr>
        <w:pStyle w:val="Heading2"/>
      </w:pPr>
      <w:r>
        <w:t>Key Point</w:t>
      </w:r>
    </w:p>
    <w:p>
      <w:r>
        <w:rPr>
          <w:b w:val="0"/>
          <w:i w:val="0"/>
        </w:rPr>
        <w:t>A gift-shop miniature rose is usually an outdoor shrub temporarily sold as a houseplant.</w:t>
      </w:r>
    </w:p>
    <w:p>
      <w:pPr>
        <w:pStyle w:val="Heading2"/>
      </w:pPr>
      <w:r>
        <w:t>At-a-Glance Growing Specifications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Botanical name</w:t>
            </w:r>
          </w:p>
        </w:tc>
        <w:tc>
          <w:tcPr>
            <w:tcW w:type="dxa" w:w="5083"/>
            <w:vAlign w:val="center"/>
            <w:shd w:fill="FFFFFF"/>
          </w:tcPr>
          <w:p>
            <w:pPr>
              <w:spacing w:after="60"/>
            </w:pPr>
            <w:r>
              <w:rPr>
                <w:b w:val="0"/>
                <w:i w:val="0"/>
                <w:sz w:val="22"/>
              </w:rPr>
              <w:t>Rosa Miniature Group</w:t>
            </w:r>
          </w:p>
        </w:tc>
      </w:tr>
      <w:tr>
        <w:trPr>
          <w:cantSplit/>
        </w:trPr>
        <w:tc>
          <w:tcPr>
            <w:tcW w:type="dxa" w:w="5083"/>
            <w:vAlign w:val="center"/>
            <w:shd w:fill="FFFFFF"/>
          </w:tcPr>
          <w:p>
            <w:pPr>
              <w:spacing w:after="60"/>
            </w:pPr>
            <w:r>
              <w:rPr>
                <w:b/>
                <w:i w:val="0"/>
                <w:sz w:val="22"/>
              </w:rPr>
              <w:t>Family</w:t>
            </w:r>
          </w:p>
        </w:tc>
        <w:tc>
          <w:tcPr>
            <w:tcW w:type="dxa" w:w="5083"/>
            <w:vAlign w:val="center"/>
            <w:shd w:fill="FFFFFF"/>
          </w:tcPr>
          <w:p>
            <w:pPr>
              <w:spacing w:after="60"/>
            </w:pPr>
            <w:r>
              <w:rPr>
                <w:b w:val="0"/>
                <w:i w:val="0"/>
                <w:sz w:val="22"/>
              </w:rPr>
              <w:t>Rosaceae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At least 6 hours of direct sun; indoor windows rarely provide enough for long-term vigor.</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Water deeply when the top inch dries; never allow repeated wilting or standing water.</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55–80°F; many cultivars perform best outdoors and benefit from winter dormancy.</w:t>
            </w:r>
          </w:p>
        </w:tc>
      </w:tr>
      <w:tr>
        <w:trPr>
          <w:cantSplit/>
        </w:trPr>
        <w:tc>
          <w:tcPr>
            <w:tcW w:type="dxa" w:w="5083"/>
            <w:vAlign w:val="center"/>
            <w:shd w:fill="FFFFFF"/>
          </w:tcPr>
          <w:p>
            <w:pPr>
              <w:spacing w:after="60"/>
            </w:pPr>
            <w:r>
              <w:rPr>
                <w:b/>
                <w:i w:val="0"/>
                <w:sz w:val="22"/>
              </w:rPr>
              <w:t>Feeding</w:t>
            </w:r>
          </w:p>
        </w:tc>
        <w:tc>
          <w:tcPr>
            <w:tcW w:type="dxa" w:w="5083"/>
            <w:vAlign w:val="center"/>
            <w:shd w:fill="FFFFFF"/>
          </w:tcPr>
          <w:p>
            <w:pPr>
              <w:spacing w:after="60"/>
            </w:pPr>
            <w:r>
              <w:rPr>
                <w:b w:val="0"/>
                <w:i w:val="0"/>
                <w:sz w:val="22"/>
              </w:rPr>
              <w:t>Rose fertilizer at label rate during active growth; stop 6–8 weeks before expected frost outdoors.</w:t>
            </w:r>
          </w:p>
        </w:tc>
      </w:tr>
      <w:tr>
        <w:trPr>
          <w:cantSplit/>
        </w:trPr>
        <w:tc>
          <w:tcPr>
            <w:tcW w:type="dxa" w:w="5083"/>
            <w:vAlign w:val="center"/>
            <w:shd w:fill="FFFFFF"/>
          </w:tcPr>
          <w:p>
            <w:pPr>
              <w:spacing w:after="60"/>
            </w:pPr>
            <w:r>
              <w:rPr>
                <w:b/>
                <w:i w:val="0"/>
                <w:sz w:val="22"/>
              </w:rPr>
              <w:t>Potting mix</w:t>
            </w:r>
          </w:p>
        </w:tc>
        <w:tc>
          <w:tcPr>
            <w:tcW w:type="dxa" w:w="5083"/>
            <w:vAlign w:val="center"/>
            <w:shd w:fill="FFFFFF"/>
          </w:tcPr>
          <w:p>
            <w:pPr>
              <w:spacing w:after="60"/>
            </w:pPr>
            <w:r>
              <w:rPr>
                <w:b w:val="0"/>
                <w:i w:val="0"/>
                <w:sz w:val="22"/>
              </w:rPr>
              <w:t>Herb and Container Vegetable Standard Mix: 2 parts generic potting soil + 1 part compost-rich raised-bed/in-ground soil ingredient + 1 part coarse perlite.</w:t>
            </w:r>
          </w:p>
        </w:tc>
      </w:tr>
      <w:tr>
        <w:trPr>
          <w:cantSplit/>
        </w:trPr>
        <w:tc>
          <w:tcPr>
            <w:tcW w:type="dxa" w:w="5083"/>
            <w:vAlign w:val="center"/>
            <w:shd w:fill="FFFFFF"/>
          </w:tcPr>
          <w:p>
            <w:pPr>
              <w:spacing w:after="60"/>
            </w:pPr>
            <w:r>
              <w:rPr>
                <w:b/>
                <w:i w:val="0"/>
                <w:sz w:val="22"/>
              </w:rPr>
              <w:t>Toxicity</w:t>
            </w:r>
          </w:p>
        </w:tc>
        <w:tc>
          <w:tcPr>
            <w:tcW w:type="dxa" w:w="5083"/>
            <w:vAlign w:val="center"/>
            <w:shd w:fill="FFFFFF"/>
          </w:tcPr>
          <w:p>
            <w:pPr>
              <w:spacing w:after="60"/>
            </w:pPr>
            <w:r>
              <w:rPr>
                <w:b w:val="0"/>
                <w:i w:val="0"/>
                <w:sz w:val="22"/>
              </w:rPr>
              <w:t>Not poisonous, but thorns injure and pesticide residues matter.</w:t>
            </w:r>
          </w:p>
        </w:tc>
      </w:tr>
    </w:tbl>
    <w:p>
      <w:pPr>
        <w:spacing w:after="20"/>
      </w:pP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Not applicable to this cultivated hybrid group.</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 as a horticultural group; some wild rose ancestors are U.S. natives.</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Cultivar dependent. This group is not interchangeable with invasive multiflora rose.</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fertile plants may form hips, but seedlings do not reproduce named cultivars reliably.</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Rose petals and hips have food uses, but use only positively identified, food-safe plants. Gift plants may have unsuitable pesticide residues; remove irritating hairs from hips. Prickles can puncture skin.</w:t>
            </w:r>
          </w:p>
        </w:tc>
      </w:tr>
    </w:tbl>
    <w:p>
      <w:pPr>
        <w:spacing w:after="20"/>
      </w:pPr>
    </w:p>
    <w:p>
      <w:pPr>
        <w:pStyle w:val="Heading2"/>
      </w:pPr>
      <w:r>
        <w:t>Care</w:t>
      </w:r>
    </w:p>
    <w:p>
      <w:pPr>
        <w:pStyle w:val="ListBullet"/>
      </w:pPr>
      <w:r>
        <w:rPr>
          <w:b w:val="0"/>
          <w:i w:val="0"/>
        </w:rPr>
        <w:t>At least 6 hours of direct sun; indoor windows rarely provide enough for long-term vigor.</w:t>
      </w:r>
    </w:p>
    <w:p>
      <w:pPr>
        <w:pStyle w:val="ListBullet"/>
      </w:pPr>
      <w:r>
        <w:rPr>
          <w:b w:val="0"/>
          <w:i w:val="0"/>
        </w:rPr>
        <w:t>Water deeply when the top inch dries; never allow repeated wilting or standing water.</w:t>
      </w:r>
    </w:p>
    <w:p>
      <w:pPr>
        <w:pStyle w:val="ListBullet"/>
      </w:pPr>
      <w:r>
        <w:rPr>
          <w:b w:val="0"/>
          <w:i w:val="0"/>
        </w:rPr>
        <w:t>Use a container with an unobstructed drainage hole. Do not add a gravel layer under the mix. Increase only one pot size when repotting.</w:t>
      </w:r>
    </w:p>
    <w:p>
      <w:pPr>
        <w:pStyle w:val="ListBullet"/>
      </w:pPr>
      <w:r>
        <w:rPr>
          <w:b w:val="0"/>
          <w:i w:val="0"/>
        </w:rPr>
        <w:t>Rotate the pot periodically for even growth, inspect leaf axils and roots, and quarantine new plants before adding them to a collection.</w:t>
      </w:r>
    </w:p>
    <w:p>
      <w:pPr>
        <w:pStyle w:val="Heading2"/>
      </w:pPr>
      <w:r>
        <w:t>Standard Potting Mix</w:t>
      </w:r>
    </w:p>
    <w:p>
      <w:r>
        <w:rPr>
          <w:b w:val="0"/>
          <w:i w:val="0"/>
        </w:rPr>
        <w:t>Herb and Container Vegetable Standard Mix: 2 parts generic potting soil + 1 part compost-rich raised-bed/in-ground soil ingredient + 1 part coarse perlite.</w:t>
      </w:r>
    </w:p>
    <w:p>
      <w:r>
        <w:rPr>
          <w:b w:val="0"/>
          <w:i w:val="0"/>
        </w:rPr>
        <w:t>Mix by volume using the same scoop. Premoisten dusty ingredients and keep the blend loose.</w:t>
      </w:r>
    </w:p>
    <w:p>
      <w:pPr>
        <w:pStyle w:val="Heading2"/>
      </w:pPr>
      <w:r>
        <w:t>Feeding</w:t>
      </w:r>
    </w:p>
    <w:p>
      <w:r>
        <w:rPr>
          <w:b w:val="0"/>
          <w:i w:val="0"/>
        </w:rPr>
        <w:t>Rose fertilizer at label rate during active growth; stop 6–8 weeks before expected frost outdoors. Feed only moist, healthy roots. Reduce or stop fertilizer when growth pauses, and occasionally flush the pot with plain water to limit soluble salts.</w:t>
      </w:r>
    </w:p>
    <w:p>
      <w:pPr>
        <w:pStyle w:val="Heading2"/>
      </w:pPr>
      <w:r>
        <w:t>Flowering</w:t>
      </w:r>
    </w:p>
    <w:p>
      <w:r>
        <w:rPr>
          <w:b w:val="0"/>
          <w:i w:val="0"/>
        </w:rPr>
        <w:t>Repeated flushes from spring into fall with deadheading; flowers vary widely in color and form.</w:t>
      </w:r>
    </w:p>
    <w:p>
      <w:pPr>
        <w:pStyle w:val="ListBullet"/>
      </w:pPr>
      <w:r>
        <w:rPr>
          <w:b w:val="0"/>
          <w:i w:val="0"/>
        </w:rPr>
        <w:t>Provide the correct light and seasonal rhythm; fertilizer cannot compensate for inadequate light.</w:t>
      </w:r>
    </w:p>
    <w:p>
      <w:pPr>
        <w:pStyle w:val="ListBullet"/>
      </w:pPr>
      <w:r>
        <w:rPr>
          <w:b w:val="0"/>
          <w:i w:val="0"/>
        </w:rPr>
        <w:t>Remove spent flowering structures with clean tools unless seed or wildlife value is desired.</w:t>
      </w:r>
    </w:p>
    <w:p>
      <w:pPr>
        <w:pStyle w:val="Heading2"/>
      </w:pPr>
      <w:r>
        <w:t>Propagation and Self-Seeding</w:t>
      </w:r>
    </w:p>
    <w:p>
      <w:r>
        <w:rPr>
          <w:b w:val="0"/>
          <w:i w:val="0"/>
        </w:rPr>
        <w:t>Softwood cuttings in late spring or summer; some named plants are grafted or patented.</w:t>
      </w:r>
    </w:p>
    <w:p>
      <w:r>
        <w:rPr>
          <w:b w:val="0"/>
          <w:i w:val="0"/>
        </w:rPr>
        <w:t>Self-seeding: Limited; fertile plants may form hips, but seedlings do not reproduce named cultivars reliably.</w:t>
      </w:r>
    </w:p>
    <w:p>
      <w:pPr>
        <w:pStyle w:val="Heading2"/>
      </w:pPr>
      <w:r>
        <w:t>Environment / Native Habitat</w:t>
      </w:r>
    </w:p>
    <w:p>
      <w:r>
        <w:rPr>
          <w:b w:val="0"/>
          <w:i w:val="0"/>
        </w:rPr>
        <w:t>A horticultural group rather than a wild species; its temperate rose ancestry explains the need for sun, air movement, fertile soil, and a cool winter rest.</w:t>
      </w:r>
    </w:p>
    <w:p>
      <w:r>
        <w:rPr>
          <w:b w:val="0"/>
          <w:i w:val="0"/>
        </w:rPr>
        <w:t>Cultivation translation: reproduce the habitat’s drainage, air movement, light pattern, and seasonal change rather than copying only its average temperature.</w:t>
      </w:r>
    </w:p>
    <w:p>
      <w:pPr>
        <w:pStyle w:val="Heading2"/>
      </w:pPr>
      <w:r>
        <w:t>Troubleshooting</w:t>
      </w:r>
    </w:p>
    <w:p>
      <w:r>
        <w:rPr>
          <w:b w:val="0"/>
          <w:i w:val="0"/>
        </w:rPr>
        <w:t>Spider mites thrive in hot dry rooms. Black spot and powdery mildew need sanitation and air movement. Yellow leaves may signal poor drainage.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Plant declines after watering</w:t>
            </w:r>
          </w:p>
        </w:tc>
        <w:tc>
          <w:tcPr>
            <w:tcW w:type="dxa" w:w="5083"/>
            <w:vAlign w:val="center"/>
            <w:shd w:fill="FFFFFF"/>
          </w:tcPr>
          <w:p>
            <w:pPr>
              <w:spacing w:after="60"/>
            </w:pPr>
            <w:r>
              <w:rPr>
                <w:b w:val="0"/>
                <w:i w:val="0"/>
                <w:sz w:val="22"/>
              </w:rPr>
              <w:t>Inspect roots and crown; remove rot, improve aeration, and extend the dry interval.</w:t>
            </w:r>
          </w:p>
        </w:tc>
      </w:tr>
      <w:tr>
        <w:trPr>
          <w:cantSplit/>
        </w:trPr>
        <w:tc>
          <w:tcPr>
            <w:tcW w:type="dxa" w:w="5083"/>
            <w:vAlign w:val="center"/>
            <w:shd w:fill="FFFFFF"/>
          </w:tcPr>
          <w:p>
            <w:pPr>
              <w:spacing w:after="60"/>
            </w:pPr>
            <w:r>
              <w:rPr>
                <w:b/>
                <w:i w:val="0"/>
                <w:sz w:val="22"/>
              </w:rPr>
              <w:t>Pests</w:t>
            </w:r>
          </w:p>
        </w:tc>
        <w:tc>
          <w:tcPr>
            <w:tcW w:type="dxa" w:w="5083"/>
            <w:vAlign w:val="center"/>
            <w:shd w:fill="FFFFFF"/>
          </w:tcPr>
          <w:p>
            <w:pPr>
              <w:spacing w:after="60"/>
            </w:pPr>
            <w:r>
              <w:rPr>
                <w:b w:val="0"/>
                <w:i w:val="0"/>
                <w:sz w:val="22"/>
              </w:rPr>
              <w:t>Isolate first. Check for mealybugs, scale, mites, aphids, or fungus gnats; begin with physical removal and the least-toxic labeled control.</w:t>
            </w:r>
          </w:p>
        </w:tc>
      </w:tr>
      <w:tr>
        <w:trPr>
          <w:cantSplit/>
        </w:trPr>
        <w:tc>
          <w:tcPr>
            <w:tcW w:type="dxa" w:w="5083"/>
            <w:vAlign w:val="center"/>
            <w:shd w:fill="FFFFFF"/>
          </w:tcPr>
          <w:p>
            <w:pPr>
              <w:spacing w:after="60"/>
            </w:pPr>
            <w:r>
              <w:rPr>
                <w:b/>
                <w:i w:val="0"/>
                <w:sz w:val="22"/>
              </w:rPr>
              <w:t>Weak or distorted growth</w:t>
            </w:r>
          </w:p>
        </w:tc>
        <w:tc>
          <w:tcPr>
            <w:tcW w:type="dxa" w:w="5083"/>
            <w:vAlign w:val="center"/>
            <w:shd w:fill="FFFFFF"/>
          </w:tcPr>
          <w:p>
            <w:pPr>
              <w:spacing w:after="60"/>
            </w:pPr>
            <w:r>
              <w:rPr>
                <w:b w:val="0"/>
                <w:i w:val="0"/>
                <w:sz w:val="22"/>
              </w:rPr>
              <w:t>Recheck light, root health, temperature, and fertilizer before adding more water or feed.</w:t>
            </w:r>
          </w:p>
        </w:tc>
      </w:tr>
    </w:tbl>
    <w:p>
      <w:pPr>
        <w:spacing w:after="20"/>
      </w:pPr>
    </w:p>
    <w:p>
      <w:pPr>
        <w:pStyle w:val="Heading2"/>
      </w:pPr>
      <w:r>
        <w:t>Quick Reference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At least 6 hours of direct sun; indoor windows rarely provide enough for long-term vigor.</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Water deeply when the top inch dries; never allow repeated wilting or standing water.</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55–80°F; many cultivars perform best outdoors and benefit from winter dormancy.</w:t>
            </w:r>
          </w:p>
        </w:tc>
      </w:tr>
      <w:tr>
        <w:trPr>
          <w:cantSplit/>
        </w:trPr>
        <w:tc>
          <w:tcPr>
            <w:tcW w:type="dxa" w:w="5083"/>
            <w:vAlign w:val="center"/>
            <w:shd w:fill="FFFFFF"/>
          </w:tcPr>
          <w:p>
            <w:pPr>
              <w:spacing w:after="60"/>
            </w:pPr>
            <w:r>
              <w:rPr>
                <w:b/>
                <w:i w:val="0"/>
                <w:sz w:val="22"/>
              </w:rPr>
              <w:t>Standard mix</w:t>
            </w:r>
          </w:p>
        </w:tc>
        <w:tc>
          <w:tcPr>
            <w:tcW w:type="dxa" w:w="5083"/>
            <w:vAlign w:val="center"/>
            <w:shd w:fill="FFFFFF"/>
          </w:tcPr>
          <w:p>
            <w:pPr>
              <w:spacing w:after="60"/>
            </w:pPr>
            <w:r>
              <w:rPr>
                <w:b w:val="0"/>
                <w:i w:val="0"/>
                <w:sz w:val="22"/>
              </w:rPr>
              <w:t>Herb and Container Vegetable Standard Mix: 2 parts generic potting soil + 1 part compost-rich raised-bed/in-ground soil ingredient + 1 part coarse perlite.</w:t>
            </w:r>
          </w:p>
        </w:tc>
      </w:tr>
      <w:tr>
        <w:trPr>
          <w:cantSplit/>
        </w:trPr>
        <w:tc>
          <w:tcPr>
            <w:tcW w:type="dxa" w:w="5083"/>
            <w:vAlign w:val="center"/>
            <w:shd w:fill="FFFFFF"/>
          </w:tcPr>
          <w:p>
            <w:pPr>
              <w:spacing w:after="60"/>
            </w:pPr>
            <w:r>
              <w:rPr>
                <w:b/>
                <w:i w:val="0"/>
                <w:sz w:val="22"/>
              </w:rPr>
              <w:t>Propagation</w:t>
            </w:r>
          </w:p>
        </w:tc>
        <w:tc>
          <w:tcPr>
            <w:tcW w:type="dxa" w:w="5083"/>
            <w:vAlign w:val="center"/>
            <w:shd w:fill="FFFFFF"/>
          </w:tcPr>
          <w:p>
            <w:pPr>
              <w:spacing w:after="60"/>
            </w:pPr>
            <w:r>
              <w:rPr>
                <w:b w:val="0"/>
                <w:i w:val="0"/>
                <w:sz w:val="22"/>
              </w:rPr>
              <w:t>Softwood cuttings in late spring or summer; some named plants are grafted or patented.</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fertile plants may form hips, but seedlings do not reproduce named cultivars reliably.</w:t>
            </w:r>
          </w:p>
        </w:tc>
      </w:tr>
    </w:tbl>
    <w:p>
      <w:pPr>
        <w:spacing w:after="20"/>
      </w:pPr>
    </w:p>
    <w:p>
      <w:pPr>
        <w:pStyle w:val="Heading2"/>
      </w:pPr>
      <w:r>
        <w:t>Reliable References</w:t>
      </w:r>
    </w:p>
    <w:p>
      <w:hyperlink r:id="rId12">
        <w:r>
          <w:rPr>
            <w:color w:val="245B43"/>
            <w:u w:val="single"/>
          </w:rPr>
          <w:t>NC State Extension — rosa</w:t>
        </w:r>
      </w:hyperlink>
    </w:p>
    <w:p>
      <w:pPr>
        <w:pStyle w:val="ListBullet"/>
      </w:pPr>
      <w:r>
        <w:rPr>
          <w:b w:val="0"/>
          <w:i w:val="0"/>
        </w:rPr>
        <w:t>Internal standard: Minimal Standard Potting Mixes and Stock Inventory Information Sheet (2026).</w:t>
      </w:r>
    </w:p>
    <w:p>
      <w:r>
        <w:rPr>
          <w:b w:val="0"/>
          <w:i w:val="0"/>
        </w:rPr>
        <w:t>Educational reference. Species, cultivar, climate, container, and household conditions may require adjustment.</w:t>
      </w:r>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miniature-rose/" TargetMode="External"/><Relationship Id="rId12" Type="http://schemas.openxmlformats.org/officeDocument/2006/relationships/hyperlink" Target="https://plants.ces.ncsu.edu/plants/rosa/"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miniature rose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