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Vegetable Root Systems</w:t>
      </w:r>
    </w:p>
    <w:p>
      <w:pPr>
        <w:spacing w:after="320"/>
      </w:pPr>
      <w:r>
        <w:t>Combined Information Sheets</w:t>
      </w:r>
    </w:p>
    <w:p>
      <w:pPr>
        <w:pStyle w:val="Heading1"/>
      </w:pPr>
      <w:r>
        <w:t>Vegetable Root Systems</w:t>
      </w:r>
    </w:p>
    <w:p>
      <w:r>
        <w:rPr>
          <w:b/>
        </w:rPr>
        <w:t xml:space="preserve">Online Information Sheet: </w:t>
      </w:r>
      <w:hyperlink r:id="rId11">
        <w:r>
          <w:rPr>
            <w:color w:val="245B43"/>
            <w:u w:val="single"/>
          </w:rPr>
          <w:t>planteducationproject.com/learn/vegetable-root-systems/</w:t>
        </w:r>
      </w:hyperlink>
    </w:p>
    <w:p>
      <w:r>
        <w:rPr>
          <w:b w:val="0"/>
          <w:i w:val="0"/>
        </w:rPr>
        <w:t>🌿 Information Sheet</w:t>
      </w:r>
    </w:p>
    <w:p>
      <w:r>
        <w:rPr>
          <w:b w:val="0"/>
          <w:i w:val="0"/>
        </w:rPr>
        <w:t>A vegetable’s harvested root is only one part of its root system. Water uptake depends on the full distribution of living roots, soil moisture, and soil aeration. Rooting-depth ranges are planning aids, not promises about what a plant will achieve in a particular bed.</w:t>
      </w:r>
    </w:p>
    <w:p>
      <w:pPr>
        <w:pStyle w:val="Heading2"/>
      </w:pPr>
      <w:r>
        <w:t>Depth and spread answer different questions</w:t>
      </w:r>
    </w:p>
    <w:p>
      <w:r>
        <w:rPr>
          <w:b w:val="0"/>
          <w:i w:val="0"/>
        </w:rPr>
        <w:t>Maximum effective rooting depth describes the soil profile a well-grown crop may exploit. Most active roots can still be concentrated near the surface. Lateral roots may extend beyond the foliage or the planted row, so a narrow watering ring can miss much of the absorbing system.</w:t>
      </w:r>
    </w:p>
    <w:p>
      <w:r>
        <w:rPr>
          <w:b w:val="0"/>
          <w:i w:val="0"/>
        </w:rPr>
        <w:t>The ranges below are FAO irrigation-planning values for favorable, unrestricted conditions. They are not minimum pot depths and should not be substituted for measurements of an actual soil profile.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Crop</w:t>
            </w:r>
          </w:p>
        </w:tc>
        <w:tc>
          <w:tcPr>
            <w:tcW w:type="dxa" w:w="3389"/>
            <w:vAlign w:val="center"/>
            <w:shd w:fill="E9EDF0"/>
          </w:tcPr>
          <w:p>
            <w:pPr>
              <w:spacing w:after="60"/>
            </w:pPr>
            <w:r>
              <w:rPr>
                <w:b/>
                <w:i w:val="0"/>
                <w:sz w:val="22"/>
              </w:rPr>
              <w:t>Effective root depth</w:t>
            </w:r>
          </w:p>
        </w:tc>
        <w:tc>
          <w:tcPr>
            <w:tcW w:type="dxa" w:w="3389"/>
            <w:vAlign w:val="center"/>
            <w:shd w:fill="E9EDF0"/>
          </w:tcPr>
          <w:p>
            <w:pPr>
              <w:spacing w:after="60"/>
            </w:pPr>
            <w:r>
              <w:rPr>
                <w:b/>
                <w:i w:val="0"/>
                <w:sz w:val="22"/>
              </w:rPr>
              <w:t>Lateral pattern</w:t>
            </w:r>
          </w:p>
        </w:tc>
      </w:tr>
      <w:tr>
        <w:trPr>
          <w:cantSplit/>
        </w:trPr>
        <w:tc>
          <w:tcPr>
            <w:tcW w:type="dxa" w:w="3389"/>
            <w:vAlign w:val="center"/>
            <w:shd w:fill="FFFFFF"/>
          </w:tcPr>
          <w:p>
            <w:pPr>
              <w:spacing w:after="60"/>
            </w:pPr>
            <w:r>
              <w:rPr>
                <w:b/>
                <w:i w:val="0"/>
                <w:sz w:val="22"/>
              </w:rPr>
              <w:t>Lettuce</w:t>
            </w:r>
          </w:p>
        </w:tc>
        <w:tc>
          <w:tcPr>
            <w:tcW w:type="dxa" w:w="3389"/>
            <w:vAlign w:val="center"/>
            <w:shd w:fill="FFFFFF"/>
          </w:tcPr>
          <w:p>
            <w:pPr>
              <w:spacing w:after="60"/>
            </w:pPr>
            <w:r>
              <w:rPr>
                <w:b w:val="0"/>
                <w:i w:val="0"/>
                <w:sz w:val="22"/>
              </w:rPr>
              <w:t>0.3–0.5 m / 1.0–1.6 ft</w:t>
            </w:r>
          </w:p>
        </w:tc>
        <w:tc>
          <w:tcPr>
            <w:tcW w:type="dxa" w:w="3389"/>
            <w:vAlign w:val="center"/>
            <w:shd w:fill="FFFFFF"/>
          </w:tcPr>
          <w:p>
            <w:pPr>
              <w:spacing w:after="60"/>
            </w:pPr>
            <w:r>
              <w:rPr>
                <w:b w:val="0"/>
                <w:i w:val="0"/>
                <w:sz w:val="22"/>
              </w:rPr>
              <w:t>Relatively shallow, spreading network; surface drying matters.</w:t>
            </w:r>
          </w:p>
        </w:tc>
      </w:tr>
      <w:tr>
        <w:trPr>
          <w:cantSplit/>
        </w:trPr>
        <w:tc>
          <w:tcPr>
            <w:tcW w:type="dxa" w:w="3389"/>
            <w:vAlign w:val="center"/>
            <w:shd w:fill="FFFFFF"/>
          </w:tcPr>
          <w:p>
            <w:pPr>
              <w:spacing w:after="60"/>
            </w:pPr>
            <w:r>
              <w:rPr>
                <w:b/>
                <w:i w:val="0"/>
                <w:sz w:val="22"/>
              </w:rPr>
              <w:t>Dry onion</w:t>
            </w:r>
          </w:p>
        </w:tc>
        <w:tc>
          <w:tcPr>
            <w:tcW w:type="dxa" w:w="3389"/>
            <w:vAlign w:val="center"/>
            <w:shd w:fill="FFFFFF"/>
          </w:tcPr>
          <w:p>
            <w:pPr>
              <w:spacing w:after="60"/>
            </w:pPr>
            <w:r>
              <w:rPr>
                <w:b w:val="0"/>
                <w:i w:val="0"/>
                <w:sz w:val="22"/>
              </w:rPr>
              <w:t>0.3–0.6 m / 1.0–2.0 ft</w:t>
            </w:r>
          </w:p>
        </w:tc>
        <w:tc>
          <w:tcPr>
            <w:tcW w:type="dxa" w:w="3389"/>
            <w:vAlign w:val="center"/>
            <w:shd w:fill="FFFFFF"/>
          </w:tcPr>
          <w:p>
            <w:pPr>
              <w:spacing w:after="60"/>
            </w:pPr>
            <w:r>
              <w:rPr>
                <w:b w:val="0"/>
                <w:i w:val="0"/>
                <w:sz w:val="22"/>
              </w:rPr>
              <w:t>Fibrous roots occupy a limited upper soil volume.</w:t>
            </w:r>
          </w:p>
        </w:tc>
      </w:tr>
      <w:tr>
        <w:trPr>
          <w:cantSplit/>
        </w:trPr>
        <w:tc>
          <w:tcPr>
            <w:tcW w:type="dxa" w:w="3389"/>
            <w:vAlign w:val="center"/>
            <w:shd w:fill="FFFFFF"/>
          </w:tcPr>
          <w:p>
            <w:pPr>
              <w:spacing w:after="60"/>
            </w:pPr>
            <w:r>
              <w:rPr>
                <w:b/>
                <w:i w:val="0"/>
                <w:sz w:val="22"/>
              </w:rPr>
              <w:t>Carrot</w:t>
            </w:r>
          </w:p>
        </w:tc>
        <w:tc>
          <w:tcPr>
            <w:tcW w:type="dxa" w:w="3389"/>
            <w:vAlign w:val="center"/>
            <w:shd w:fill="FFFFFF"/>
          </w:tcPr>
          <w:p>
            <w:pPr>
              <w:spacing w:after="60"/>
            </w:pPr>
            <w:r>
              <w:rPr>
                <w:b w:val="0"/>
                <w:i w:val="0"/>
                <w:sz w:val="22"/>
              </w:rPr>
              <w:t>0.5–1.0 m / 1.6–3.3 ft</w:t>
            </w:r>
          </w:p>
        </w:tc>
        <w:tc>
          <w:tcPr>
            <w:tcW w:type="dxa" w:w="3389"/>
            <w:vAlign w:val="center"/>
            <w:shd w:fill="FFFFFF"/>
          </w:tcPr>
          <w:p>
            <w:pPr>
              <w:spacing w:after="60"/>
            </w:pPr>
            <w:r>
              <w:rPr>
                <w:b w:val="0"/>
                <w:i w:val="0"/>
                <w:sz w:val="22"/>
              </w:rPr>
              <w:t>Fine roots extend beyond the swollen storage taproot.</w:t>
            </w:r>
          </w:p>
        </w:tc>
      </w:tr>
      <w:tr>
        <w:trPr>
          <w:cantSplit/>
        </w:trPr>
        <w:tc>
          <w:tcPr>
            <w:tcW w:type="dxa" w:w="3389"/>
            <w:vAlign w:val="center"/>
            <w:shd w:fill="FFFFFF"/>
          </w:tcPr>
          <w:p>
            <w:pPr>
              <w:spacing w:after="60"/>
            </w:pPr>
            <w:r>
              <w:rPr>
                <w:b/>
                <w:i w:val="0"/>
                <w:sz w:val="22"/>
              </w:rPr>
              <w:t>Cabbage</w:t>
            </w:r>
          </w:p>
        </w:tc>
        <w:tc>
          <w:tcPr>
            <w:tcW w:type="dxa" w:w="3389"/>
            <w:vAlign w:val="center"/>
            <w:shd w:fill="FFFFFF"/>
          </w:tcPr>
          <w:p>
            <w:pPr>
              <w:spacing w:after="60"/>
            </w:pPr>
            <w:r>
              <w:rPr>
                <w:b w:val="0"/>
                <w:i w:val="0"/>
                <w:sz w:val="22"/>
              </w:rPr>
              <w:t>0.5–0.8 m / 1.6–2.6 ft</w:t>
            </w:r>
          </w:p>
        </w:tc>
        <w:tc>
          <w:tcPr>
            <w:tcW w:type="dxa" w:w="3389"/>
            <w:vAlign w:val="center"/>
            <w:shd w:fill="FFFFFF"/>
          </w:tcPr>
          <w:p>
            <w:pPr>
              <w:spacing w:after="60"/>
            </w:pPr>
            <w:r>
              <w:rPr>
                <w:b w:val="0"/>
                <w:i w:val="0"/>
                <w:sz w:val="22"/>
              </w:rPr>
              <w:t>Branched system can occupy soil between plants.</w:t>
            </w:r>
          </w:p>
        </w:tc>
      </w:tr>
      <w:tr>
        <w:trPr>
          <w:cantSplit/>
        </w:trPr>
        <w:tc>
          <w:tcPr>
            <w:tcW w:type="dxa" w:w="3389"/>
            <w:vAlign w:val="center"/>
            <w:shd w:fill="FFFFFF"/>
          </w:tcPr>
          <w:p>
            <w:pPr>
              <w:spacing w:after="60"/>
            </w:pPr>
            <w:r>
              <w:rPr>
                <w:b/>
                <w:i w:val="0"/>
                <w:sz w:val="22"/>
              </w:rPr>
              <w:t>Tomato</w:t>
            </w:r>
          </w:p>
        </w:tc>
        <w:tc>
          <w:tcPr>
            <w:tcW w:type="dxa" w:w="3389"/>
            <w:vAlign w:val="center"/>
            <w:shd w:fill="FFFFFF"/>
          </w:tcPr>
          <w:p>
            <w:pPr>
              <w:spacing w:after="60"/>
            </w:pPr>
            <w:r>
              <w:rPr>
                <w:b w:val="0"/>
                <w:i w:val="0"/>
                <w:sz w:val="22"/>
              </w:rPr>
              <w:t>0.7–1.5 m / 2.3–4.9 ft</w:t>
            </w:r>
          </w:p>
        </w:tc>
        <w:tc>
          <w:tcPr>
            <w:tcW w:type="dxa" w:w="3389"/>
            <w:vAlign w:val="center"/>
            <w:shd w:fill="FFFFFF"/>
          </w:tcPr>
          <w:p>
            <w:pPr>
              <w:spacing w:after="60"/>
            </w:pPr>
            <w:r>
              <w:rPr>
                <w:b w:val="0"/>
                <w:i w:val="0"/>
                <w:sz w:val="22"/>
              </w:rPr>
              <w:t>Extensive lateral and downward branching; rooting responds strongly to irrigation.</w:t>
            </w:r>
          </w:p>
        </w:tc>
      </w:tr>
      <w:tr>
        <w:trPr>
          <w:cantSplit/>
        </w:trPr>
        <w:tc>
          <w:tcPr>
            <w:tcW w:type="dxa" w:w="3389"/>
            <w:vAlign w:val="center"/>
            <w:shd w:fill="FFFFFF"/>
          </w:tcPr>
          <w:p>
            <w:pPr>
              <w:spacing w:after="60"/>
            </w:pPr>
            <w:r>
              <w:rPr>
                <w:b/>
                <w:i w:val="0"/>
                <w:sz w:val="22"/>
              </w:rPr>
              <w:t>Sweet corn</w:t>
            </w:r>
          </w:p>
        </w:tc>
        <w:tc>
          <w:tcPr>
            <w:tcW w:type="dxa" w:w="3389"/>
            <w:vAlign w:val="center"/>
            <w:shd w:fill="FFFFFF"/>
          </w:tcPr>
          <w:p>
            <w:pPr>
              <w:spacing w:after="60"/>
            </w:pPr>
            <w:r>
              <w:rPr>
                <w:b w:val="0"/>
                <w:i w:val="0"/>
                <w:sz w:val="22"/>
              </w:rPr>
              <w:t>1.0–1.7 m / 3.3–5.6 ft</w:t>
            </w:r>
          </w:p>
        </w:tc>
        <w:tc>
          <w:tcPr>
            <w:tcW w:type="dxa" w:w="3389"/>
            <w:vAlign w:val="center"/>
            <w:shd w:fill="FFFFFF"/>
          </w:tcPr>
          <w:p>
            <w:pPr>
              <w:spacing w:after="60"/>
            </w:pPr>
            <w:r>
              <w:rPr>
                <w:b w:val="0"/>
                <w:i w:val="0"/>
                <w:sz w:val="22"/>
              </w:rPr>
              <w:t>Many nodal roots spread between rows and penetrate when soil permits.</w:t>
            </w:r>
          </w:p>
        </w:tc>
      </w:tr>
    </w:tbl>
    <w:p>
      <w:pPr>
        <w:spacing w:after="20"/>
      </w:pPr>
    </w:p>
    <w:p>
      <w:pPr>
        <w:pStyle w:val="Heading2"/>
      </w:pPr>
      <w:r>
        <w:t>A single width number would mislead</w:t>
      </w:r>
    </w:p>
    <w:p>
      <w:r>
        <w:rPr>
          <w:b w:val="0"/>
          <w:i w:val="0"/>
        </w:rPr>
        <w:t>Lateral spread changes with cultivar, age, spacing, transplanting, soil structure, and the position of water and nutrients. Root systems overlap. A mature tomato may explore well outside its planting hole, whereas closely spaced onions share a shallow zone. Use these patterns to plan wetted area; do not assume the canopy edge marks the root boundary.</w:t>
      </w:r>
    </w:p>
    <w:p>
      <w:r>
        <w:rPr>
          <w:b w:val="0"/>
          <w:i w:val="0"/>
        </w:rPr>
        <w:t>Taproot, fibrous root system, and adventitious root describe development or architecture. They do not establish a fixed depth. A carrot’s marketable shape is particularly sensitive to compaction, stones, and transplant damage.</w:t>
      </w:r>
    </w:p>
    <w:p>
      <w:pPr>
        <w:pStyle w:val="Heading2"/>
      </w:pPr>
      <w:r>
        <w:t>Soil conditions set the practical limit</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Constraint</w:t>
            </w:r>
          </w:p>
        </w:tc>
        <w:tc>
          <w:tcPr>
            <w:tcW w:type="dxa" w:w="3389"/>
            <w:vAlign w:val="center"/>
            <w:shd w:fill="E9EDF0"/>
          </w:tcPr>
          <w:p>
            <w:pPr>
              <w:spacing w:after="60"/>
            </w:pPr>
            <w:r>
              <w:rPr>
                <w:b/>
                <w:i w:val="0"/>
                <w:sz w:val="22"/>
              </w:rPr>
              <w:t>Likely consequence</w:t>
            </w:r>
          </w:p>
        </w:tc>
        <w:tc>
          <w:tcPr>
            <w:tcW w:type="dxa" w:w="3389"/>
            <w:vAlign w:val="center"/>
            <w:shd w:fill="E9EDF0"/>
          </w:tcPr>
          <w:p>
            <w:pPr>
              <w:spacing w:after="60"/>
            </w:pPr>
            <w:r>
              <w:rPr>
                <w:b/>
                <w:i w:val="0"/>
                <w:sz w:val="22"/>
              </w:rPr>
              <w:t>Useful response</w:t>
            </w:r>
          </w:p>
        </w:tc>
      </w:tr>
      <w:tr>
        <w:trPr>
          <w:cantSplit/>
        </w:trPr>
        <w:tc>
          <w:tcPr>
            <w:tcW w:type="dxa" w:w="3389"/>
            <w:vAlign w:val="center"/>
            <w:shd w:fill="FFFFFF"/>
          </w:tcPr>
          <w:p>
            <w:pPr>
              <w:spacing w:after="60"/>
            </w:pPr>
            <w:r>
              <w:rPr>
                <w:b/>
                <w:i w:val="0"/>
                <w:sz w:val="22"/>
              </w:rPr>
              <w:t>Compacted layer</w:t>
            </w:r>
          </w:p>
        </w:tc>
        <w:tc>
          <w:tcPr>
            <w:tcW w:type="dxa" w:w="3389"/>
            <w:vAlign w:val="center"/>
            <w:shd w:fill="FFFFFF"/>
          </w:tcPr>
          <w:p>
            <w:pPr>
              <w:spacing w:after="60"/>
            </w:pPr>
            <w:r>
              <w:rPr>
                <w:b w:val="0"/>
                <w:i w:val="0"/>
                <w:sz w:val="22"/>
              </w:rPr>
              <w:t>Roots turn sideways or concentrate above it.</w:t>
            </w:r>
          </w:p>
        </w:tc>
        <w:tc>
          <w:tcPr>
            <w:tcW w:type="dxa" w:w="3389"/>
            <w:vAlign w:val="center"/>
            <w:shd w:fill="FFFFFF"/>
          </w:tcPr>
          <w:p>
            <w:pPr>
              <w:spacing w:after="60"/>
            </w:pPr>
            <w:r>
              <w:rPr>
                <w:b w:val="0"/>
                <w:i w:val="0"/>
                <w:sz w:val="22"/>
              </w:rPr>
              <w:t>Inspect a soil pit; avoid working wet soil and repeated traffic.</w:t>
            </w:r>
          </w:p>
        </w:tc>
      </w:tr>
      <w:tr>
        <w:trPr>
          <w:cantSplit/>
        </w:trPr>
        <w:tc>
          <w:tcPr>
            <w:tcW w:type="dxa" w:w="3389"/>
            <w:vAlign w:val="center"/>
            <w:shd w:fill="FFFFFF"/>
          </w:tcPr>
          <w:p>
            <w:pPr>
              <w:spacing w:after="60"/>
            </w:pPr>
            <w:r>
              <w:rPr>
                <w:b/>
                <w:i w:val="0"/>
                <w:sz w:val="22"/>
              </w:rPr>
              <w:t>Saturation</w:t>
            </w:r>
          </w:p>
        </w:tc>
        <w:tc>
          <w:tcPr>
            <w:tcW w:type="dxa" w:w="3389"/>
            <w:vAlign w:val="center"/>
            <w:shd w:fill="FFFFFF"/>
          </w:tcPr>
          <w:p>
            <w:pPr>
              <w:spacing w:after="60"/>
            </w:pPr>
            <w:r>
              <w:rPr>
                <w:b w:val="0"/>
                <w:i w:val="0"/>
                <w:sz w:val="22"/>
              </w:rPr>
              <w:t>Oxygen shortage suppresses root function.</w:t>
            </w:r>
          </w:p>
        </w:tc>
        <w:tc>
          <w:tcPr>
            <w:tcW w:type="dxa" w:w="3389"/>
            <w:vAlign w:val="center"/>
            <w:shd w:fill="FFFFFF"/>
          </w:tcPr>
          <w:p>
            <w:pPr>
              <w:spacing w:after="60"/>
            </w:pPr>
            <w:r>
              <w:rPr>
                <w:b w:val="0"/>
                <w:i w:val="0"/>
                <w:sz w:val="22"/>
              </w:rPr>
              <w:t>Correct drainage; extra fertilizer does not restore oxygen.</w:t>
            </w:r>
          </w:p>
        </w:tc>
      </w:tr>
      <w:tr>
        <w:trPr>
          <w:cantSplit/>
        </w:trPr>
        <w:tc>
          <w:tcPr>
            <w:tcW w:type="dxa" w:w="3389"/>
            <w:vAlign w:val="center"/>
            <w:shd w:fill="FFFFFF"/>
          </w:tcPr>
          <w:p>
            <w:pPr>
              <w:spacing w:after="60"/>
            </w:pPr>
            <w:r>
              <w:rPr>
                <w:b/>
                <w:i w:val="0"/>
                <w:sz w:val="22"/>
              </w:rPr>
              <w:t>Very shallow watering</w:t>
            </w:r>
          </w:p>
        </w:tc>
        <w:tc>
          <w:tcPr>
            <w:tcW w:type="dxa" w:w="3389"/>
            <w:vAlign w:val="center"/>
            <w:shd w:fill="FFFFFF"/>
          </w:tcPr>
          <w:p>
            <w:pPr>
              <w:spacing w:after="60"/>
            </w:pPr>
            <w:r>
              <w:rPr>
                <w:b w:val="0"/>
                <w:i w:val="0"/>
                <w:sz w:val="22"/>
              </w:rPr>
              <w:t>Roots and nutrients concentrate near the surface.</w:t>
            </w:r>
          </w:p>
        </w:tc>
        <w:tc>
          <w:tcPr>
            <w:tcW w:type="dxa" w:w="3389"/>
            <w:vAlign w:val="center"/>
            <w:shd w:fill="FFFFFF"/>
          </w:tcPr>
          <w:p>
            <w:pPr>
              <w:spacing w:after="60"/>
            </w:pPr>
            <w:r>
              <w:rPr>
                <w:b w:val="0"/>
                <w:i w:val="0"/>
                <w:sz w:val="22"/>
              </w:rPr>
              <w:t>Wet an appropriate profile and verify depth after irrigation.</w:t>
            </w:r>
          </w:p>
        </w:tc>
      </w:tr>
      <w:tr>
        <w:trPr>
          <w:cantSplit/>
        </w:trPr>
        <w:tc>
          <w:tcPr>
            <w:tcW w:type="dxa" w:w="3389"/>
            <w:vAlign w:val="center"/>
            <w:shd w:fill="FFFFFF"/>
          </w:tcPr>
          <w:p>
            <w:pPr>
              <w:spacing w:after="60"/>
            </w:pPr>
            <w:r>
              <w:rPr>
                <w:b/>
                <w:i w:val="0"/>
                <w:sz w:val="22"/>
              </w:rPr>
              <w:t>Drought or salinity</w:t>
            </w:r>
          </w:p>
        </w:tc>
        <w:tc>
          <w:tcPr>
            <w:tcW w:type="dxa" w:w="3389"/>
            <w:vAlign w:val="center"/>
            <w:shd w:fill="FFFFFF"/>
          </w:tcPr>
          <w:p>
            <w:pPr>
              <w:spacing w:after="60"/>
            </w:pPr>
            <w:r>
              <w:rPr>
                <w:b w:val="0"/>
                <w:i w:val="0"/>
                <w:sz w:val="22"/>
              </w:rPr>
              <w:t>Water becomes harder to extract.</w:t>
            </w:r>
          </w:p>
        </w:tc>
        <w:tc>
          <w:tcPr>
            <w:tcW w:type="dxa" w:w="3389"/>
            <w:vAlign w:val="center"/>
            <w:shd w:fill="FFFFFF"/>
          </w:tcPr>
          <w:p>
            <w:pPr>
              <w:spacing w:after="60"/>
            </w:pPr>
            <w:r>
              <w:rPr>
                <w:b w:val="0"/>
                <w:i w:val="0"/>
                <w:sz w:val="22"/>
              </w:rPr>
              <w:t>Measure moisture and salts; adjust irrigation with drainage in mind.</w:t>
            </w:r>
          </w:p>
        </w:tc>
      </w:tr>
      <w:tr>
        <w:trPr>
          <w:cantSplit/>
        </w:trPr>
        <w:tc>
          <w:tcPr>
            <w:tcW w:type="dxa" w:w="3389"/>
            <w:vAlign w:val="center"/>
            <w:shd w:fill="FFFFFF"/>
          </w:tcPr>
          <w:p>
            <w:pPr>
              <w:spacing w:after="60"/>
            </w:pPr>
            <w:r>
              <w:rPr>
                <w:b/>
                <w:i w:val="0"/>
                <w:sz w:val="22"/>
              </w:rPr>
              <w:t>Container wall</w:t>
            </w:r>
          </w:p>
        </w:tc>
        <w:tc>
          <w:tcPr>
            <w:tcW w:type="dxa" w:w="3389"/>
            <w:vAlign w:val="center"/>
            <w:shd w:fill="FFFFFF"/>
          </w:tcPr>
          <w:p>
            <w:pPr>
              <w:spacing w:after="60"/>
            </w:pPr>
            <w:r>
              <w:rPr>
                <w:b w:val="0"/>
                <w:i w:val="0"/>
                <w:sz w:val="22"/>
              </w:rPr>
              <w:t>The available soil volume is finite.</w:t>
            </w:r>
          </w:p>
        </w:tc>
        <w:tc>
          <w:tcPr>
            <w:tcW w:type="dxa" w:w="3389"/>
            <w:vAlign w:val="center"/>
            <w:shd w:fill="FFFFFF"/>
          </w:tcPr>
          <w:p>
            <w:pPr>
              <w:spacing w:after="60"/>
            </w:pPr>
            <w:r>
              <w:rPr>
                <w:b w:val="0"/>
                <w:i w:val="0"/>
                <w:sz w:val="22"/>
              </w:rPr>
              <w:t>Choose adequate volume and monitor drying more often.</w:t>
            </w:r>
          </w:p>
        </w:tc>
      </w:tr>
    </w:tbl>
    <w:p>
      <w:pPr>
        <w:spacing w:after="20"/>
      </w:pPr>
    </w:p>
    <w:p>
      <w:pPr>
        <w:pStyle w:val="Heading2"/>
      </w:pPr>
      <w:r>
        <w:t>Measure before changing the schedule</w:t>
      </w:r>
    </w:p>
    <w:p>
      <w:r>
        <w:rPr>
          <w:b w:val="0"/>
          <w:i w:val="0"/>
        </w:rPr>
        <w:t>After watering, examine moisture at several depths with a probe or small soil sample away from the crown. Check both near and between plants. Record where roots and moisture actually occur. Match irrigation depth and wetted width to that evidence, rainfall, and crop stage.</w:t>
      </w:r>
    </w:p>
    <w:p>
      <w:r>
        <w:rPr>
          <w:b w:val="0"/>
          <w:i w:val="0"/>
        </w:rPr>
        <w:t>Avoid deep cultivation close to established vegetables: many fine absorbing roots are shallow even in crops capable of deep rooting. Organic mulch can reduce evaporation, but it does not remove drainage or compaction limits.</w:t>
      </w:r>
    </w:p>
    <w:p>
      <w:pPr>
        <w:pStyle w:val="Heading2"/>
      </w:pPr>
      <w:r>
        <w:t>Related Information Sheets</w:t>
      </w:r>
    </w:p>
    <w:p>
      <w:hyperlink r:id="rId12">
        <w:r>
          <w:rPr>
            <w:color w:val="245B43"/>
            <w:u w:val="single"/>
          </w:rPr>
          <w:t>Soil Information Sheet - Soil Texture Triangle</w:t>
        </w:r>
      </w:hyperlink>
    </w:p>
    <w:p>
      <w:hyperlink r:id="rId13">
        <w:r>
          <w:rPr>
            <w:color w:val="245B43"/>
            <w:u w:val="single"/>
          </w:rPr>
          <w:t>Soil Information Sheet - Soil Chemistry and Nitrogen Conversions</w:t>
        </w:r>
      </w:hyperlink>
    </w:p>
    <w:p>
      <w:pPr>
        <w:pStyle w:val="Heading2"/>
      </w:pPr>
      <w:r>
        <w:t>Sources and further reading</w:t>
      </w:r>
    </w:p>
    <w:p>
      <w:hyperlink r:id="rId14">
        <w:r>
          <w:rPr>
            <w:color w:val="245B43"/>
            <w:u w:val="single"/>
          </w:rPr>
          <w:t>FAO Irrigation and Drainage Paper 56 chapter 8 table 22</w:t>
        </w:r>
      </w:hyperlink>
    </w:p>
    <w:p>
      <w:hyperlink r:id="rId15">
        <w:r>
          <w:rPr>
            <w:color w:val="245B43"/>
            <w:u w:val="single"/>
          </w:rPr>
          <w:t>OpenStax Biology 2e section 30.3 Roots</w:t>
        </w:r>
      </w:hyperlink>
    </w:p>
    <w:p>
      <w:r>
        <w:rPr>
          <w:b w:val="0"/>
          <w:i w:val="0"/>
        </w:rPr>
        <w:t xml:space="preserve">Added September 22, 2026 · </w:t>
      </w:r>
      <w:hyperlink r:id="rId1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vegetable-root-systems/" TargetMode="External"/><Relationship Id="rId12" Type="http://schemas.openxmlformats.org/officeDocument/2006/relationships/hyperlink" Target="https://planteducationproject.com/guides/soil-texture-triangle/" TargetMode="External"/><Relationship Id="rId13" Type="http://schemas.openxmlformats.org/officeDocument/2006/relationships/hyperlink" Target="https://planteducationproject.com/guides/soil-chemistry-and-nitrogen-conversions/" TargetMode="External"/><Relationship Id="rId14" Type="http://schemas.openxmlformats.org/officeDocument/2006/relationships/hyperlink" Target="https://www.fao.org/4/x0490e/x0490e0e.htm" TargetMode="External"/><Relationship Id="rId15" Type="http://schemas.openxmlformats.org/officeDocument/2006/relationships/hyperlink" Target="https://openstax.org/books/biology-2e/pages/30-3-roots" TargetMode="External"/><Relationship Id="rId16" Type="http://schemas.openxmlformats.org/officeDocument/2006/relationships/hyperlink" Target="https://planteducationproject.com/information-sheets/master-index/" TargetMode="External"/><Relationship Id="rId1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vegetable root systems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