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Root Systems</w:t>
      </w:r>
    </w:p>
    <w:p>
      <w:pPr>
        <w:spacing w:after="320"/>
      </w:pPr>
      <w:r>
        <w:t>Combined Information Sheets</w:t>
      </w:r>
    </w:p>
    <w:p>
      <w:pPr>
        <w:pStyle w:val="Heading1"/>
      </w:pPr>
      <w:r>
        <w:t>Root Systems</w:t>
      </w:r>
    </w:p>
    <w:p>
      <w:r>
        <w:rPr>
          <w:b/>
        </w:rPr>
        <w:t xml:space="preserve">Online Information Sheet: </w:t>
      </w:r>
      <w:hyperlink r:id="rId11">
        <w:r>
          <w:rPr>
            <w:color w:val="245B43"/>
            <w:u w:val="single"/>
          </w:rPr>
          <w:t>planteducationproject.com/learn/root-systems/</w:t>
        </w:r>
      </w:hyperlink>
    </w:p>
    <w:p>
      <w:r>
        <w:rPr>
          <w:b w:val="0"/>
          <w:i w:val="0"/>
        </w:rPr>
        <w:t>🌿 Information Sheet</w:t>
      </w:r>
    </w:p>
    <w:p>
      <w:r>
        <w:rPr>
          <w:b w:val="0"/>
          <w:i/>
        </w:rPr>
        <w:t>How root form matches plant type, habitat, water, and soil</w:t>
      </w:r>
    </w:p>
    <w:p>
      <w:pPr>
        <w:pStyle w:val="Heading2"/>
      </w:pPr>
      <w:r>
        <w:t>The Two Main Root-System Patterns</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Root system</w:t>
            </w:r>
          </w:p>
        </w:tc>
        <w:tc>
          <w:tcPr>
            <w:tcW w:type="dxa" w:w="2541"/>
            <w:vAlign w:val="center"/>
            <w:shd w:fill="E9EDF0"/>
          </w:tcPr>
          <w:p>
            <w:pPr>
              <w:spacing w:after="60"/>
            </w:pPr>
            <w:r>
              <w:rPr>
                <w:b/>
                <w:i w:val="0"/>
                <w:sz w:val="22"/>
              </w:rPr>
              <w:t>What it looks like</w:t>
            </w:r>
          </w:p>
        </w:tc>
        <w:tc>
          <w:tcPr>
            <w:tcW w:type="dxa" w:w="2541"/>
            <w:vAlign w:val="center"/>
            <w:shd w:fill="E9EDF0"/>
          </w:tcPr>
          <w:p>
            <w:pPr>
              <w:spacing w:after="60"/>
            </w:pPr>
            <w:r>
              <w:rPr>
                <w:b/>
                <w:i w:val="0"/>
                <w:sz w:val="22"/>
              </w:rPr>
              <w:t>Common plant types</w:t>
            </w:r>
          </w:p>
        </w:tc>
        <w:tc>
          <w:tcPr>
            <w:tcW w:type="dxa" w:w="2541"/>
            <w:vAlign w:val="center"/>
            <w:shd w:fill="E9EDF0"/>
          </w:tcPr>
          <w:p>
            <w:pPr>
              <w:spacing w:after="60"/>
            </w:pPr>
            <w:r>
              <w:rPr>
                <w:b/>
                <w:i w:val="0"/>
                <w:sz w:val="22"/>
              </w:rPr>
              <w:t>Examples</w:t>
            </w:r>
          </w:p>
        </w:tc>
      </w:tr>
      <w:tr>
        <w:trPr>
          <w:cantSplit/>
        </w:trPr>
        <w:tc>
          <w:tcPr>
            <w:tcW w:type="dxa" w:w="2541"/>
            <w:vAlign w:val="center"/>
            <w:shd w:fill="FFFFFF"/>
          </w:tcPr>
          <w:p>
            <w:pPr>
              <w:spacing w:after="60"/>
            </w:pPr>
            <w:r>
              <w:rPr>
                <w:b/>
                <w:i w:val="0"/>
                <w:sz w:val="22"/>
              </w:rPr>
              <w:t>Taproot system</w:t>
            </w:r>
          </w:p>
        </w:tc>
        <w:tc>
          <w:tcPr>
            <w:tcW w:type="dxa" w:w="2541"/>
            <w:vAlign w:val="center"/>
            <w:shd w:fill="FFFFFF"/>
          </w:tcPr>
          <w:p>
            <w:pPr>
              <w:spacing w:after="60"/>
            </w:pPr>
            <w:r>
              <w:rPr>
                <w:b w:val="0"/>
                <w:i w:val="0"/>
                <w:sz w:val="22"/>
              </w:rPr>
              <w:t>One dominant primary root grows downward, with smaller lateral roots branching from it.</w:t>
            </w:r>
          </w:p>
        </w:tc>
        <w:tc>
          <w:tcPr>
            <w:tcW w:type="dxa" w:w="2541"/>
            <w:vAlign w:val="center"/>
            <w:shd w:fill="FFFFFF"/>
          </w:tcPr>
          <w:p>
            <w:pPr>
              <w:spacing w:after="60"/>
            </w:pPr>
            <w:r>
              <w:rPr>
                <w:b w:val="0"/>
                <w:i w:val="0"/>
                <w:sz w:val="22"/>
              </w:rPr>
              <w:t>Common in many dicots, biennials, prairie forbs, some trees, and plants adapted to drought or deep soil.</w:t>
            </w:r>
          </w:p>
        </w:tc>
        <w:tc>
          <w:tcPr>
            <w:tcW w:type="dxa" w:w="2541"/>
            <w:vAlign w:val="center"/>
            <w:shd w:fill="FFFFFF"/>
          </w:tcPr>
          <w:p>
            <w:pPr>
              <w:spacing w:after="60"/>
            </w:pPr>
            <w:r>
              <w:rPr>
                <w:b w:val="0"/>
                <w:i w:val="0"/>
                <w:sz w:val="22"/>
              </w:rPr>
              <w:t>Carrot, beet, radish, dandelion, alfalfa, milkweed, bur oak, hickory seedlings.</w:t>
            </w:r>
          </w:p>
        </w:tc>
      </w:tr>
      <w:tr>
        <w:trPr>
          <w:cantSplit/>
        </w:trPr>
        <w:tc>
          <w:tcPr>
            <w:tcW w:type="dxa" w:w="2541"/>
            <w:vAlign w:val="center"/>
            <w:shd w:fill="FFFFFF"/>
          </w:tcPr>
          <w:p>
            <w:pPr>
              <w:spacing w:after="60"/>
            </w:pPr>
            <w:r>
              <w:rPr>
                <w:b/>
                <w:i w:val="0"/>
                <w:sz w:val="22"/>
              </w:rPr>
              <w:t>Fibrous root system</w:t>
            </w:r>
          </w:p>
        </w:tc>
        <w:tc>
          <w:tcPr>
            <w:tcW w:type="dxa" w:w="2541"/>
            <w:vAlign w:val="center"/>
            <w:shd w:fill="FFFFFF"/>
          </w:tcPr>
          <w:p>
            <w:pPr>
              <w:spacing w:after="60"/>
            </w:pPr>
            <w:r>
              <w:rPr>
                <w:b w:val="0"/>
                <w:i w:val="0"/>
                <w:sz w:val="22"/>
              </w:rPr>
              <w:t>Many similarly sized roots spread from the stem base; no single dominant root.</w:t>
            </w:r>
          </w:p>
        </w:tc>
        <w:tc>
          <w:tcPr>
            <w:tcW w:type="dxa" w:w="2541"/>
            <w:vAlign w:val="center"/>
            <w:shd w:fill="FFFFFF"/>
          </w:tcPr>
          <w:p>
            <w:pPr>
              <w:spacing w:after="60"/>
            </w:pPr>
            <w:r>
              <w:rPr>
                <w:b w:val="0"/>
                <w:i w:val="0"/>
                <w:sz w:val="22"/>
              </w:rPr>
              <w:t>Typical of grasses and most monocots; excellent for holding surface soil and quickly using shallow rainfall.</w:t>
            </w:r>
          </w:p>
        </w:tc>
        <w:tc>
          <w:tcPr>
            <w:tcW w:type="dxa" w:w="2541"/>
            <w:vAlign w:val="center"/>
            <w:shd w:fill="FFFFFF"/>
          </w:tcPr>
          <w:p>
            <w:pPr>
              <w:spacing w:after="60"/>
            </w:pPr>
            <w:r>
              <w:rPr>
                <w:b w:val="0"/>
                <w:i w:val="0"/>
                <w:sz w:val="22"/>
              </w:rPr>
              <w:t>Turf grasses, prairie grasses, corn, wheat, rice, onions, lilies, daylilies, sedges.</w:t>
            </w:r>
          </w:p>
        </w:tc>
      </w:tr>
    </w:tbl>
    <w:p>
      <w:pPr>
        <w:spacing w:after="20"/>
      </w:pPr>
    </w:p>
    <w:p>
      <w:pPr>
        <w:pStyle w:val="Heading2"/>
      </w:pPr>
      <w:r>
        <w:t>Specialized Root Types</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Root type</w:t>
            </w:r>
          </w:p>
        </w:tc>
        <w:tc>
          <w:tcPr>
            <w:tcW w:type="dxa" w:w="2541"/>
            <w:vAlign w:val="center"/>
            <w:shd w:fill="E9EDF0"/>
          </w:tcPr>
          <w:p>
            <w:pPr>
              <w:spacing w:after="60"/>
            </w:pPr>
            <w:r>
              <w:rPr>
                <w:b/>
                <w:i w:val="0"/>
                <w:sz w:val="22"/>
              </w:rPr>
              <w:t>Function / form</w:t>
            </w:r>
          </w:p>
        </w:tc>
        <w:tc>
          <w:tcPr>
            <w:tcW w:type="dxa" w:w="2541"/>
            <w:vAlign w:val="center"/>
            <w:shd w:fill="E9EDF0"/>
          </w:tcPr>
          <w:p>
            <w:pPr>
              <w:spacing w:after="60"/>
            </w:pPr>
            <w:r>
              <w:rPr>
                <w:b/>
                <w:i w:val="0"/>
                <w:sz w:val="22"/>
              </w:rPr>
              <w:t>Plants commonly having it</w:t>
            </w:r>
          </w:p>
        </w:tc>
        <w:tc>
          <w:tcPr>
            <w:tcW w:type="dxa" w:w="2541"/>
            <w:vAlign w:val="center"/>
            <w:shd w:fill="E9EDF0"/>
          </w:tcPr>
          <w:p>
            <w:pPr>
              <w:spacing w:after="60"/>
            </w:pPr>
            <w:r>
              <w:rPr>
                <w:b/>
                <w:i w:val="0"/>
                <w:sz w:val="22"/>
              </w:rPr>
              <w:t>Examples</w:t>
            </w:r>
          </w:p>
        </w:tc>
      </w:tr>
      <w:tr>
        <w:trPr>
          <w:cantSplit/>
        </w:trPr>
        <w:tc>
          <w:tcPr>
            <w:tcW w:type="dxa" w:w="2541"/>
            <w:vAlign w:val="center"/>
            <w:shd w:fill="FFFFFF"/>
          </w:tcPr>
          <w:p>
            <w:pPr>
              <w:spacing w:after="60"/>
            </w:pPr>
            <w:r>
              <w:rPr>
                <w:b/>
                <w:i w:val="0"/>
                <w:sz w:val="22"/>
              </w:rPr>
              <w:t>Adventitious roots</w:t>
            </w:r>
          </w:p>
        </w:tc>
        <w:tc>
          <w:tcPr>
            <w:tcW w:type="dxa" w:w="2541"/>
            <w:vAlign w:val="center"/>
            <w:shd w:fill="FFFFFF"/>
          </w:tcPr>
          <w:p>
            <w:pPr>
              <w:spacing w:after="60"/>
            </w:pPr>
            <w:r>
              <w:rPr>
                <w:b w:val="0"/>
                <w:i w:val="0"/>
                <w:sz w:val="22"/>
              </w:rPr>
              <w:t>Arise from stems, leaves, or other non-root tissue. May anchor, absorb water, or allow vegetative spread.</w:t>
            </w:r>
          </w:p>
        </w:tc>
        <w:tc>
          <w:tcPr>
            <w:tcW w:type="dxa" w:w="2541"/>
            <w:vAlign w:val="center"/>
            <w:shd w:fill="FFFFFF"/>
          </w:tcPr>
          <w:p>
            <w:pPr>
              <w:spacing w:after="60"/>
            </w:pPr>
            <w:r>
              <w:rPr>
                <w:b w:val="0"/>
                <w:i w:val="0"/>
                <w:sz w:val="22"/>
              </w:rPr>
              <w:t>Grasses, vines, houseplants, wetland plants, plants propagated from cuttings.</w:t>
            </w:r>
          </w:p>
        </w:tc>
        <w:tc>
          <w:tcPr>
            <w:tcW w:type="dxa" w:w="2541"/>
            <w:vAlign w:val="center"/>
            <w:shd w:fill="FFFFFF"/>
          </w:tcPr>
          <w:p>
            <w:pPr>
              <w:spacing w:after="60"/>
            </w:pPr>
            <w:r>
              <w:rPr>
                <w:b w:val="0"/>
                <w:i w:val="0"/>
                <w:sz w:val="22"/>
              </w:rPr>
              <w:t>Corn brace roots; pothos and philodendron nodes; strawberry runners; willow cuttings.</w:t>
            </w:r>
          </w:p>
        </w:tc>
      </w:tr>
      <w:tr>
        <w:trPr>
          <w:cantSplit/>
        </w:trPr>
        <w:tc>
          <w:tcPr>
            <w:tcW w:type="dxa" w:w="2541"/>
            <w:vAlign w:val="center"/>
            <w:shd w:fill="FFFFFF"/>
          </w:tcPr>
          <w:p>
            <w:pPr>
              <w:spacing w:after="60"/>
            </w:pPr>
            <w:r>
              <w:rPr>
                <w:b/>
                <w:i w:val="0"/>
                <w:sz w:val="22"/>
              </w:rPr>
              <w:t>Prop / brace roots</w:t>
            </w:r>
          </w:p>
        </w:tc>
        <w:tc>
          <w:tcPr>
            <w:tcW w:type="dxa" w:w="2541"/>
            <w:vAlign w:val="center"/>
            <w:shd w:fill="FFFFFF"/>
          </w:tcPr>
          <w:p>
            <w:pPr>
              <w:spacing w:after="60"/>
            </w:pPr>
            <w:r>
              <w:rPr>
                <w:b w:val="0"/>
                <w:i w:val="0"/>
                <w:sz w:val="22"/>
              </w:rPr>
              <w:t>Adventitious roots that enter the soil and support tall or spreading stems.</w:t>
            </w:r>
          </w:p>
        </w:tc>
        <w:tc>
          <w:tcPr>
            <w:tcW w:type="dxa" w:w="2541"/>
            <w:vAlign w:val="center"/>
            <w:shd w:fill="FFFFFF"/>
          </w:tcPr>
          <w:p>
            <w:pPr>
              <w:spacing w:after="60"/>
            </w:pPr>
            <w:r>
              <w:rPr>
                <w:b w:val="0"/>
                <w:i w:val="0"/>
                <w:sz w:val="22"/>
              </w:rPr>
              <w:t>Large grasses, tropical trees, and some wetland/coastal plants.</w:t>
            </w:r>
          </w:p>
        </w:tc>
        <w:tc>
          <w:tcPr>
            <w:tcW w:type="dxa" w:w="2541"/>
            <w:vAlign w:val="center"/>
            <w:shd w:fill="FFFFFF"/>
          </w:tcPr>
          <w:p>
            <w:pPr>
              <w:spacing w:after="60"/>
            </w:pPr>
            <w:r>
              <w:rPr>
                <w:b w:val="0"/>
                <w:i w:val="0"/>
                <w:sz w:val="22"/>
              </w:rPr>
              <w:t>Corn, banyan, screw pine (Pandanus).</w:t>
            </w:r>
          </w:p>
        </w:tc>
      </w:tr>
      <w:tr>
        <w:trPr>
          <w:cantSplit/>
        </w:trPr>
        <w:tc>
          <w:tcPr>
            <w:tcW w:type="dxa" w:w="2541"/>
            <w:vAlign w:val="center"/>
            <w:shd w:fill="FFFFFF"/>
          </w:tcPr>
          <w:p>
            <w:pPr>
              <w:spacing w:after="60"/>
            </w:pPr>
            <w:r>
              <w:rPr>
                <w:b/>
                <w:i w:val="0"/>
                <w:sz w:val="22"/>
              </w:rPr>
              <w:t>Aerial roots</w:t>
            </w:r>
          </w:p>
        </w:tc>
        <w:tc>
          <w:tcPr>
            <w:tcW w:type="dxa" w:w="2541"/>
            <w:vAlign w:val="center"/>
            <w:shd w:fill="FFFFFF"/>
          </w:tcPr>
          <w:p>
            <w:pPr>
              <w:spacing w:after="60"/>
            </w:pPr>
            <w:r>
              <w:rPr>
                <w:b w:val="0"/>
                <w:i w:val="0"/>
                <w:sz w:val="22"/>
              </w:rPr>
              <w:t>Grow above ground; may absorb moisture, cling to supports, or later reach soil.</w:t>
            </w:r>
          </w:p>
        </w:tc>
        <w:tc>
          <w:tcPr>
            <w:tcW w:type="dxa" w:w="2541"/>
            <w:vAlign w:val="center"/>
            <w:shd w:fill="FFFFFF"/>
          </w:tcPr>
          <w:p>
            <w:pPr>
              <w:spacing w:after="60"/>
            </w:pPr>
            <w:r>
              <w:rPr>
                <w:b w:val="0"/>
                <w:i w:val="0"/>
                <w:sz w:val="22"/>
              </w:rPr>
              <w:t>Epiphytes and climbing tropical plants.</w:t>
            </w:r>
          </w:p>
        </w:tc>
        <w:tc>
          <w:tcPr>
            <w:tcW w:type="dxa" w:w="2541"/>
            <w:vAlign w:val="center"/>
            <w:shd w:fill="FFFFFF"/>
          </w:tcPr>
          <w:p>
            <w:pPr>
              <w:spacing w:after="60"/>
            </w:pPr>
            <w:r>
              <w:rPr>
                <w:b w:val="0"/>
                <w:i w:val="0"/>
                <w:sz w:val="22"/>
              </w:rPr>
              <w:t>Orchids, Monstera, philodendrons, pothos, banyan.</w:t>
            </w:r>
          </w:p>
        </w:tc>
      </w:tr>
      <w:tr>
        <w:trPr>
          <w:cantSplit/>
        </w:trPr>
        <w:tc>
          <w:tcPr>
            <w:tcW w:type="dxa" w:w="2541"/>
            <w:vAlign w:val="center"/>
            <w:shd w:fill="FFFFFF"/>
          </w:tcPr>
          <w:p>
            <w:pPr>
              <w:spacing w:after="60"/>
            </w:pPr>
            <w:r>
              <w:rPr>
                <w:b/>
                <w:i w:val="0"/>
                <w:sz w:val="22"/>
              </w:rPr>
              <w:t>Clinging roots</w:t>
            </w:r>
          </w:p>
        </w:tc>
        <w:tc>
          <w:tcPr>
            <w:tcW w:type="dxa" w:w="2541"/>
            <w:vAlign w:val="center"/>
            <w:shd w:fill="FFFFFF"/>
          </w:tcPr>
          <w:p>
            <w:pPr>
              <w:spacing w:after="60"/>
            </w:pPr>
            <w:r>
              <w:rPr>
                <w:b w:val="0"/>
                <w:i w:val="0"/>
                <w:sz w:val="22"/>
              </w:rPr>
              <w:t>Small adventitious roots attach stems to bark, rock, or walls.</w:t>
            </w:r>
          </w:p>
        </w:tc>
        <w:tc>
          <w:tcPr>
            <w:tcW w:type="dxa" w:w="2541"/>
            <w:vAlign w:val="center"/>
            <w:shd w:fill="FFFFFF"/>
          </w:tcPr>
          <w:p>
            <w:pPr>
              <w:spacing w:after="60"/>
            </w:pPr>
            <w:r>
              <w:rPr>
                <w:b w:val="0"/>
                <w:i w:val="0"/>
                <w:sz w:val="22"/>
              </w:rPr>
              <w:t>Root-climbing vines.</w:t>
            </w:r>
          </w:p>
        </w:tc>
        <w:tc>
          <w:tcPr>
            <w:tcW w:type="dxa" w:w="2541"/>
            <w:vAlign w:val="center"/>
            <w:shd w:fill="FFFFFF"/>
          </w:tcPr>
          <w:p>
            <w:pPr>
              <w:spacing w:after="60"/>
            </w:pPr>
            <w:r>
              <w:rPr>
                <w:b w:val="0"/>
                <w:i w:val="0"/>
                <w:sz w:val="22"/>
              </w:rPr>
              <w:t>English ivy, climbing hydrangea, trumpet creeper.</w:t>
            </w:r>
          </w:p>
        </w:tc>
      </w:tr>
      <w:tr>
        <w:trPr>
          <w:cantSplit/>
        </w:trPr>
        <w:tc>
          <w:tcPr>
            <w:tcW w:type="dxa" w:w="2541"/>
            <w:vAlign w:val="center"/>
            <w:shd w:fill="FFFFFF"/>
          </w:tcPr>
          <w:p>
            <w:pPr>
              <w:spacing w:after="60"/>
            </w:pPr>
            <w:r>
              <w:rPr>
                <w:b/>
                <w:i w:val="0"/>
                <w:sz w:val="22"/>
              </w:rPr>
              <w:t>Storage roots</w:t>
            </w:r>
          </w:p>
        </w:tc>
        <w:tc>
          <w:tcPr>
            <w:tcW w:type="dxa" w:w="2541"/>
            <w:vAlign w:val="center"/>
            <w:shd w:fill="FFFFFF"/>
          </w:tcPr>
          <w:p>
            <w:pPr>
              <w:spacing w:after="60"/>
            </w:pPr>
            <w:r>
              <w:rPr>
                <w:b w:val="0"/>
                <w:i w:val="0"/>
                <w:sz w:val="22"/>
              </w:rPr>
              <w:t>Roots enlarge to store carbohydrates and water.</w:t>
            </w:r>
          </w:p>
        </w:tc>
        <w:tc>
          <w:tcPr>
            <w:tcW w:type="dxa" w:w="2541"/>
            <w:vAlign w:val="center"/>
            <w:shd w:fill="FFFFFF"/>
          </w:tcPr>
          <w:p>
            <w:pPr>
              <w:spacing w:after="60"/>
            </w:pPr>
            <w:r>
              <w:rPr>
                <w:b w:val="0"/>
                <w:i w:val="0"/>
                <w:sz w:val="22"/>
              </w:rPr>
              <w:t>Biennials, perennials, tropical ornamentals, food crops.</w:t>
            </w:r>
          </w:p>
        </w:tc>
        <w:tc>
          <w:tcPr>
            <w:tcW w:type="dxa" w:w="2541"/>
            <w:vAlign w:val="center"/>
            <w:shd w:fill="FFFFFF"/>
          </w:tcPr>
          <w:p>
            <w:pPr>
              <w:spacing w:after="60"/>
            </w:pPr>
            <w:r>
              <w:rPr>
                <w:b w:val="0"/>
                <w:i w:val="0"/>
                <w:sz w:val="22"/>
              </w:rPr>
              <w:t>Sweet potato, cassava, dahlia, asparagus storage roots.</w:t>
            </w:r>
          </w:p>
        </w:tc>
      </w:tr>
      <w:tr>
        <w:trPr>
          <w:cantSplit/>
        </w:trPr>
        <w:tc>
          <w:tcPr>
            <w:tcW w:type="dxa" w:w="2541"/>
            <w:vAlign w:val="center"/>
            <w:shd w:fill="FFFFFF"/>
          </w:tcPr>
          <w:p>
            <w:pPr>
              <w:spacing w:after="60"/>
            </w:pPr>
            <w:r>
              <w:rPr>
                <w:b/>
                <w:i w:val="0"/>
                <w:sz w:val="22"/>
              </w:rPr>
              <w:t>Contractile roots</w:t>
            </w:r>
          </w:p>
        </w:tc>
        <w:tc>
          <w:tcPr>
            <w:tcW w:type="dxa" w:w="2541"/>
            <w:vAlign w:val="center"/>
            <w:shd w:fill="FFFFFF"/>
          </w:tcPr>
          <w:p>
            <w:pPr>
              <w:spacing w:after="60"/>
            </w:pPr>
            <w:r>
              <w:rPr>
                <w:b w:val="0"/>
                <w:i w:val="0"/>
                <w:sz w:val="22"/>
              </w:rPr>
              <w:t>Shorten and pull bulbs, corms, or crowns to a favorable soil depth.</w:t>
            </w:r>
          </w:p>
        </w:tc>
        <w:tc>
          <w:tcPr>
            <w:tcW w:type="dxa" w:w="2541"/>
            <w:vAlign w:val="center"/>
            <w:shd w:fill="FFFFFF"/>
          </w:tcPr>
          <w:p>
            <w:pPr>
              <w:spacing w:after="60"/>
            </w:pPr>
            <w:r>
              <w:rPr>
                <w:b w:val="0"/>
                <w:i w:val="0"/>
                <w:sz w:val="22"/>
              </w:rPr>
              <w:t>Bulbs, corms, rosette plants, and some orchids.</w:t>
            </w:r>
          </w:p>
        </w:tc>
        <w:tc>
          <w:tcPr>
            <w:tcW w:type="dxa" w:w="2541"/>
            <w:vAlign w:val="center"/>
            <w:shd w:fill="FFFFFF"/>
          </w:tcPr>
          <w:p>
            <w:pPr>
              <w:spacing w:after="60"/>
            </w:pPr>
            <w:r>
              <w:rPr>
                <w:b w:val="0"/>
                <w:i w:val="0"/>
                <w:sz w:val="22"/>
              </w:rPr>
              <w:t>Lilies, gladiolus, crocus, hyacinth, dandelion.</w:t>
            </w:r>
          </w:p>
        </w:tc>
      </w:tr>
      <w:tr>
        <w:trPr>
          <w:cantSplit/>
        </w:trPr>
        <w:tc>
          <w:tcPr>
            <w:tcW w:type="dxa" w:w="2541"/>
            <w:vAlign w:val="center"/>
            <w:shd w:fill="FFFFFF"/>
          </w:tcPr>
          <w:p>
            <w:pPr>
              <w:spacing w:after="60"/>
            </w:pPr>
            <w:r>
              <w:rPr>
                <w:b/>
                <w:i w:val="0"/>
                <w:sz w:val="22"/>
              </w:rPr>
              <w:t>Pneumatophores</w:t>
            </w:r>
          </w:p>
        </w:tc>
        <w:tc>
          <w:tcPr>
            <w:tcW w:type="dxa" w:w="2541"/>
            <w:vAlign w:val="center"/>
            <w:shd w:fill="FFFFFF"/>
          </w:tcPr>
          <w:p>
            <w:pPr>
              <w:spacing w:after="60"/>
            </w:pPr>
            <w:r>
              <w:rPr>
                <w:b w:val="0"/>
                <w:i w:val="0"/>
                <w:sz w:val="22"/>
              </w:rPr>
              <w:t>Upward-growing 'breathing roots' that improve gas exchange in waterlogged, oxygen-poor soil.</w:t>
            </w:r>
          </w:p>
        </w:tc>
        <w:tc>
          <w:tcPr>
            <w:tcW w:type="dxa" w:w="2541"/>
            <w:vAlign w:val="center"/>
            <w:shd w:fill="FFFFFF"/>
          </w:tcPr>
          <w:p>
            <w:pPr>
              <w:spacing w:after="60"/>
            </w:pPr>
            <w:r>
              <w:rPr>
                <w:b w:val="0"/>
                <w:i w:val="0"/>
                <w:sz w:val="22"/>
              </w:rPr>
              <w:t>Swamp and mangrove trees.</w:t>
            </w:r>
          </w:p>
        </w:tc>
        <w:tc>
          <w:tcPr>
            <w:tcW w:type="dxa" w:w="2541"/>
            <w:vAlign w:val="center"/>
            <w:shd w:fill="FFFFFF"/>
          </w:tcPr>
          <w:p>
            <w:pPr>
              <w:spacing w:after="60"/>
            </w:pPr>
            <w:r>
              <w:rPr>
                <w:b w:val="0"/>
                <w:i w:val="0"/>
                <w:sz w:val="22"/>
              </w:rPr>
              <w:t>Bald cypress, black mangrove.</w:t>
            </w:r>
          </w:p>
        </w:tc>
      </w:tr>
      <w:tr>
        <w:trPr>
          <w:cantSplit/>
        </w:trPr>
        <w:tc>
          <w:tcPr>
            <w:tcW w:type="dxa" w:w="2541"/>
            <w:vAlign w:val="center"/>
            <w:shd w:fill="FFFFFF"/>
          </w:tcPr>
          <w:p>
            <w:pPr>
              <w:spacing w:after="60"/>
            </w:pPr>
            <w:r>
              <w:rPr>
                <w:b/>
                <w:i w:val="0"/>
                <w:sz w:val="22"/>
              </w:rPr>
              <w:t>Buttress roots</w:t>
            </w:r>
          </w:p>
        </w:tc>
        <w:tc>
          <w:tcPr>
            <w:tcW w:type="dxa" w:w="2541"/>
            <w:vAlign w:val="center"/>
            <w:shd w:fill="FFFFFF"/>
          </w:tcPr>
          <w:p>
            <w:pPr>
              <w:spacing w:after="60"/>
            </w:pPr>
            <w:r>
              <w:rPr>
                <w:b w:val="0"/>
                <w:i w:val="0"/>
                <w:sz w:val="22"/>
              </w:rPr>
              <w:t>Broad, plank-like roots at the trunk base provide mechanical support in shallow tropical soils.</w:t>
            </w:r>
          </w:p>
        </w:tc>
        <w:tc>
          <w:tcPr>
            <w:tcW w:type="dxa" w:w="2541"/>
            <w:vAlign w:val="center"/>
            <w:shd w:fill="FFFFFF"/>
          </w:tcPr>
          <w:p>
            <w:pPr>
              <w:spacing w:after="60"/>
            </w:pPr>
            <w:r>
              <w:rPr>
                <w:b w:val="0"/>
                <w:i w:val="0"/>
                <w:sz w:val="22"/>
              </w:rPr>
              <w:t>Large tropical rainforest trees.</w:t>
            </w:r>
          </w:p>
        </w:tc>
        <w:tc>
          <w:tcPr>
            <w:tcW w:type="dxa" w:w="2541"/>
            <w:vAlign w:val="center"/>
            <w:shd w:fill="FFFFFF"/>
          </w:tcPr>
          <w:p>
            <w:pPr>
              <w:spacing w:after="60"/>
            </w:pPr>
            <w:r>
              <w:rPr>
                <w:b w:val="0"/>
                <w:i w:val="0"/>
                <w:sz w:val="22"/>
              </w:rPr>
              <w:t>Kapok and many tropical canopy trees.</w:t>
            </w:r>
          </w:p>
        </w:tc>
      </w:tr>
      <w:tr>
        <w:trPr>
          <w:cantSplit/>
        </w:trPr>
        <w:tc>
          <w:tcPr>
            <w:tcW w:type="dxa" w:w="2541"/>
            <w:vAlign w:val="center"/>
            <w:shd w:fill="FFFFFF"/>
          </w:tcPr>
          <w:p>
            <w:pPr>
              <w:spacing w:after="60"/>
            </w:pPr>
            <w:r>
              <w:rPr>
                <w:b/>
                <w:i w:val="0"/>
                <w:sz w:val="22"/>
              </w:rPr>
              <w:t>Haustorial roots</w:t>
            </w:r>
          </w:p>
        </w:tc>
        <w:tc>
          <w:tcPr>
            <w:tcW w:type="dxa" w:w="2541"/>
            <w:vAlign w:val="center"/>
            <w:shd w:fill="FFFFFF"/>
          </w:tcPr>
          <w:p>
            <w:pPr>
              <w:spacing w:after="60"/>
            </w:pPr>
            <w:r>
              <w:rPr>
                <w:b w:val="0"/>
                <w:i w:val="0"/>
                <w:sz w:val="22"/>
              </w:rPr>
              <w:t>Specialized roots penetrate a host plant and withdraw water and/or nutrients.</w:t>
            </w:r>
          </w:p>
        </w:tc>
        <w:tc>
          <w:tcPr>
            <w:tcW w:type="dxa" w:w="2541"/>
            <w:vAlign w:val="center"/>
            <w:shd w:fill="FFFFFF"/>
          </w:tcPr>
          <w:p>
            <w:pPr>
              <w:spacing w:after="60"/>
            </w:pPr>
            <w:r>
              <w:rPr>
                <w:b w:val="0"/>
                <w:i w:val="0"/>
                <w:sz w:val="22"/>
              </w:rPr>
              <w:t>Parasitic or hemiparasitic plants.</w:t>
            </w:r>
          </w:p>
        </w:tc>
        <w:tc>
          <w:tcPr>
            <w:tcW w:type="dxa" w:w="2541"/>
            <w:vAlign w:val="center"/>
            <w:shd w:fill="FFFFFF"/>
          </w:tcPr>
          <w:p>
            <w:pPr>
              <w:spacing w:after="60"/>
            </w:pPr>
            <w:r>
              <w:rPr>
                <w:b w:val="0"/>
                <w:i w:val="0"/>
                <w:sz w:val="22"/>
              </w:rPr>
              <w:t>Dodder, mistletoe, Indian paintbrush.</w:t>
            </w:r>
          </w:p>
        </w:tc>
      </w:tr>
      <w:tr>
        <w:trPr>
          <w:cantSplit/>
        </w:trPr>
        <w:tc>
          <w:tcPr>
            <w:tcW w:type="dxa" w:w="2541"/>
            <w:vAlign w:val="center"/>
            <w:shd w:fill="FFFFFF"/>
          </w:tcPr>
          <w:p>
            <w:pPr>
              <w:spacing w:after="60"/>
            </w:pPr>
            <w:r>
              <w:rPr>
                <w:b/>
                <w:i w:val="0"/>
                <w:sz w:val="22"/>
              </w:rPr>
              <w:t>Nodulated roots</w:t>
            </w:r>
          </w:p>
        </w:tc>
        <w:tc>
          <w:tcPr>
            <w:tcW w:type="dxa" w:w="2541"/>
            <w:vAlign w:val="center"/>
            <w:shd w:fill="FFFFFF"/>
          </w:tcPr>
          <w:p>
            <w:pPr>
              <w:spacing w:after="60"/>
            </w:pPr>
            <w:r>
              <w:rPr>
                <w:b w:val="0"/>
                <w:i w:val="0"/>
                <w:sz w:val="22"/>
              </w:rPr>
              <w:t>Roots form nodules containing nitrogen-fixing bacteria.</w:t>
            </w:r>
          </w:p>
        </w:tc>
        <w:tc>
          <w:tcPr>
            <w:tcW w:type="dxa" w:w="2541"/>
            <w:vAlign w:val="center"/>
            <w:shd w:fill="FFFFFF"/>
          </w:tcPr>
          <w:p>
            <w:pPr>
              <w:spacing w:after="60"/>
            </w:pPr>
            <w:r>
              <w:rPr>
                <w:b w:val="0"/>
                <w:i w:val="0"/>
                <w:sz w:val="22"/>
              </w:rPr>
              <w:t>Primarily legumes; also a few non-legume groups.</w:t>
            </w:r>
          </w:p>
        </w:tc>
        <w:tc>
          <w:tcPr>
            <w:tcW w:type="dxa" w:w="2541"/>
            <w:vAlign w:val="center"/>
            <w:shd w:fill="FFFFFF"/>
          </w:tcPr>
          <w:p>
            <w:pPr>
              <w:spacing w:after="60"/>
            </w:pPr>
            <w:r>
              <w:rPr>
                <w:b w:val="0"/>
                <w:i w:val="0"/>
                <w:sz w:val="22"/>
              </w:rPr>
              <w:t>Peas, beans, clover, alfalfa, black locust, redbud.</w:t>
            </w:r>
          </w:p>
        </w:tc>
      </w:tr>
      <w:tr>
        <w:trPr>
          <w:cantSplit/>
        </w:trPr>
        <w:tc>
          <w:tcPr>
            <w:tcW w:type="dxa" w:w="2541"/>
            <w:vAlign w:val="center"/>
            <w:shd w:fill="FFFFFF"/>
          </w:tcPr>
          <w:p>
            <w:pPr>
              <w:spacing w:after="60"/>
            </w:pPr>
            <w:r>
              <w:rPr>
                <w:b/>
                <w:i w:val="0"/>
                <w:sz w:val="22"/>
              </w:rPr>
              <w:t>Mycorrhizal roots</w:t>
            </w:r>
          </w:p>
        </w:tc>
        <w:tc>
          <w:tcPr>
            <w:tcW w:type="dxa" w:w="2541"/>
            <w:vAlign w:val="center"/>
            <w:shd w:fill="FFFFFF"/>
          </w:tcPr>
          <w:p>
            <w:pPr>
              <w:spacing w:after="60"/>
            </w:pPr>
            <w:r>
              <w:rPr>
                <w:b w:val="0"/>
                <w:i w:val="0"/>
                <w:sz w:val="22"/>
              </w:rPr>
              <w:t>Fine roots partner with fungi, greatly extending effective nutrient- and water-absorbing area.</w:t>
            </w:r>
          </w:p>
        </w:tc>
        <w:tc>
          <w:tcPr>
            <w:tcW w:type="dxa" w:w="2541"/>
            <w:vAlign w:val="center"/>
            <w:shd w:fill="FFFFFF"/>
          </w:tcPr>
          <w:p>
            <w:pPr>
              <w:spacing w:after="60"/>
            </w:pPr>
            <w:r>
              <w:rPr>
                <w:b w:val="0"/>
                <w:i w:val="0"/>
                <w:sz w:val="22"/>
              </w:rPr>
              <w:t>Extremely widespread among terrestrial plants.</w:t>
            </w:r>
          </w:p>
        </w:tc>
        <w:tc>
          <w:tcPr>
            <w:tcW w:type="dxa" w:w="2541"/>
            <w:vAlign w:val="center"/>
            <w:shd w:fill="FFFFFF"/>
          </w:tcPr>
          <w:p>
            <w:pPr>
              <w:spacing w:after="60"/>
            </w:pPr>
            <w:r>
              <w:rPr>
                <w:b w:val="0"/>
                <w:i w:val="0"/>
                <w:sz w:val="22"/>
              </w:rPr>
              <w:t>Oaks, pines, orchids, grasses, prairie plants, many garden plants.</w:t>
            </w:r>
          </w:p>
        </w:tc>
      </w:tr>
    </w:tbl>
    <w:p>
      <w:pPr>
        <w:spacing w:after="20"/>
      </w:pPr>
    </w:p>
    <w:p>
      <w:pPr>
        <w:pStyle w:val="Heading2"/>
      </w:pPr>
      <w:r>
        <w:t>Root Depth and Plant Type</w:t>
      </w:r>
    </w:p>
    <w:p>
      <w:r>
        <w:rPr>
          <w:b/>
          <w:i w:val="0"/>
        </w:rPr>
        <w:t xml:space="preserve">Shallow-rooted plants: </w:t>
      </w:r>
      <w:r>
        <w:t>many annuals, turf grasses, succulents, rhododendrons, azaleas, and numerous woodland plants. They depend heavily on moisture and nutrients near the surface.</w:t>
      </w:r>
    </w:p>
    <w:p>
      <w:r>
        <w:rPr>
          <w:b/>
          <w:i w:val="0"/>
        </w:rPr>
        <w:t xml:space="preserve">Moderately deep roots: </w:t>
      </w:r>
      <w:r>
        <w:t>many garden perennials, shrubs, vegetables, and young trees.</w:t>
      </w:r>
    </w:p>
    <w:p>
      <w:r>
        <w:rPr>
          <w:b/>
          <w:i w:val="0"/>
        </w:rPr>
        <w:t xml:space="preserve">Deep-rooted plants: </w:t>
      </w:r>
      <w:r>
        <w:t>many prairie forbs and grasses, drought-adapted plants, and some mature trees. Deep roots can reach stored soil moisture, but actual depth depends strongly on soil, drainage, compaction, and bedrock.</w:t>
      </w:r>
    </w:p>
    <w:p>
      <w:pPr>
        <w:pStyle w:val="Heading2"/>
      </w:pPr>
      <w:r>
        <w:t>Why Root Type Matters</w:t>
      </w:r>
    </w:p>
    <w:p>
      <w:r>
        <w:rPr>
          <w:b/>
          <w:i w:val="0"/>
        </w:rPr>
        <w:t xml:space="preserve">Watering: </w:t>
      </w:r>
      <w:r>
        <w:t>Shallow roots usually need more frequent watering; deeper systems often benefit from slower, deeper irrigation.</w:t>
      </w:r>
    </w:p>
    <w:p>
      <w:r>
        <w:rPr>
          <w:b/>
          <w:i w:val="0"/>
        </w:rPr>
        <w:t xml:space="preserve">Transplanting: </w:t>
      </w:r>
      <w:r>
        <w:t>Taproots and fleshy storage roots are easily damaged. Fibrous-rooted plants often transplant more readily.</w:t>
      </w:r>
    </w:p>
    <w:p>
      <w:r>
        <w:rPr>
          <w:b/>
          <w:i w:val="0"/>
        </w:rPr>
        <w:t xml:space="preserve">Erosion control: </w:t>
      </w:r>
      <w:r>
        <w:t>Dense fibrous systems are especially effective at binding upper soil; mixed prairie plantings reinforce soil at several depths.</w:t>
      </w:r>
    </w:p>
    <w:p>
      <w:r>
        <w:rPr>
          <w:b/>
          <w:i w:val="0"/>
        </w:rPr>
        <w:t xml:space="preserve">Containers: </w:t>
      </w:r>
      <w:r>
        <w:t>Root architecture affects pot depth. Deep taproots need deeper containers; spreading fibrous systems need adequate width.</w:t>
      </w:r>
    </w:p>
    <w:p>
      <w:r>
        <w:rPr>
          <w:b/>
          <w:i w:val="0"/>
        </w:rPr>
        <w:t xml:space="preserve">Propagation: </w:t>
      </w:r>
      <w:r>
        <w:t>Adventitious-root formation makes many plants easy to propagate from stem or leaf cuttings.</w:t>
      </w:r>
    </w:p>
    <w:p>
      <w:r>
        <w:rPr>
          <w:b/>
          <w:i w:val="0"/>
        </w:rPr>
        <w:t xml:space="preserve">Soil health: </w:t>
      </w:r>
      <w:r>
        <w:t>Roots create pores, feed soil organisms, stabilize aggregates, and leave organic matter behind as roots die and regrow.</w:t>
      </w:r>
    </w:p>
    <w:p>
      <w:pPr>
        <w:pStyle w:val="Heading2"/>
      </w:pPr>
      <w:r>
        <w:t>Key Point</w:t>
      </w:r>
    </w:p>
    <w:p>
      <w:r>
        <w:rPr>
          <w:b/>
          <w:i w:val="0"/>
        </w:rPr>
        <w:t>Do not assume a species has one fixed rooting depth or shape.</w:t>
      </w:r>
      <w:r>
        <w:t xml:space="preserve"> Root systems respond to soil texture, compaction, drainage, oxygen, competition, irrigation, container size, and physical barriers. The same species can root very differently in different sites.</w:t>
      </w:r>
    </w:p>
    <w:p>
      <w:pPr>
        <w:pStyle w:val="Heading2"/>
      </w:pPr>
      <w:r>
        <w:t>Related Information Sheets</w:t>
      </w:r>
    </w:p>
    <w:p>
      <w:r>
        <w:rPr>
          <w:b w:val="0"/>
          <w:i w:val="0"/>
        </w:rPr>
        <w:t>Soil Structure • Soil Moisture Testing • Plant Potting Mixes • Propagation • Mycorrhizae • Native Grasses • Prairie Ecology</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root-systems/"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root systems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