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Pollination</w:t>
      </w:r>
    </w:p>
    <w:p>
      <w:pPr>
        <w:spacing w:after="320"/>
      </w:pPr>
      <w:r>
        <w:t>Combined Information Sheets</w:t>
      </w:r>
    </w:p>
    <w:p>
      <w:pPr>
        <w:pStyle w:val="Heading1"/>
      </w:pPr>
      <w:r>
        <w:t>Pollination</w:t>
      </w:r>
    </w:p>
    <w:p>
      <w:r>
        <w:rPr>
          <w:b/>
        </w:rPr>
        <w:t xml:space="preserve">Online Information Sheet: </w:t>
      </w:r>
      <w:hyperlink r:id="rId11">
        <w:r>
          <w:rPr>
            <w:color w:val="245B43"/>
            <w:u w:val="single"/>
          </w:rPr>
          <w:t>planteducationproject.com/learn/pollination/</w:t>
        </w:r>
      </w:hyperlink>
    </w:p>
    <w:p>
      <w:r>
        <w:rPr>
          <w:b w:val="0"/>
          <w:i w:val="0"/>
        </w:rPr>
        <w:t>🌿 Information Sheet</w:t>
      </w:r>
    </w:p>
    <w:p>
      <w:r>
        <w:rPr>
          <w:b w:val="0"/>
          <w:i w:val="0"/>
        </w:rPr>
        <w:t>Pollination moves pollen to a receptive reproductive surface. It precedes fertilization but does not guarantee it. Wind, animals, and water can carry pollen, and the effective mechanism depends on the plant’s reproductive biology and habitat.</w:t>
      </w:r>
    </w:p>
    <w:p>
      <w:pPr>
        <w:pStyle w:val="Heading2"/>
      </w:pPr>
      <w:r>
        <w:t>Pollen transfer and fertilization are different events</w:t>
      </w:r>
    </w:p>
    <w:p>
      <w:r>
        <w:rPr>
          <w:b w:val="0"/>
          <w:i w:val="0"/>
        </w:rPr>
        <w:t>In flowering plants, pollination delivers pollen from an anther to a stigma. A compatible pollen grain can germinate and grow a tube toward an ovule. Fertilization occurs when sperm and egg unite. Flowering plants also form endosperm through a second fertilization event.</w:t>
      </w:r>
    </w:p>
    <w:p>
      <w:r>
        <w:rPr>
          <w:b w:val="0"/>
          <w:i w:val="0"/>
        </w:rPr>
        <w:t>In gymnosperms, pollen reaches the ovule or its receiving structures without a flower’s stigma. Pollination applies to seed plants. Mosses and ferns reproduce with spores and have motile sperm; their water-dependent fertilization is not pollination.</w:t>
      </w:r>
    </w:p>
    <w:p>
      <w:pPr>
        <w:pStyle w:val="Heading2"/>
      </w:pPr>
      <w:r>
        <w:t>Several carriers solve the same transport problem</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Carrier</w:t>
            </w:r>
          </w:p>
        </w:tc>
        <w:tc>
          <w:tcPr>
            <w:tcW w:type="dxa" w:w="3389"/>
            <w:vAlign w:val="center"/>
            <w:shd w:fill="E9EDF0"/>
          </w:tcPr>
          <w:p>
            <w:pPr>
              <w:spacing w:after="60"/>
            </w:pPr>
            <w:r>
              <w:rPr>
                <w:b/>
                <w:i w:val="0"/>
                <w:sz w:val="22"/>
              </w:rPr>
              <w:t>How it works</w:t>
            </w:r>
          </w:p>
        </w:tc>
        <w:tc>
          <w:tcPr>
            <w:tcW w:type="dxa" w:w="3389"/>
            <w:vAlign w:val="center"/>
            <w:shd w:fill="E9EDF0"/>
          </w:tcPr>
          <w:p>
            <w:pPr>
              <w:spacing w:after="60"/>
            </w:pPr>
            <w:r>
              <w:rPr>
                <w:b/>
                <w:i w:val="0"/>
                <w:sz w:val="22"/>
              </w:rPr>
              <w:t>Examples and limits</w:t>
            </w:r>
          </w:p>
        </w:tc>
      </w:tr>
      <w:tr>
        <w:trPr>
          <w:cantSplit/>
        </w:trPr>
        <w:tc>
          <w:tcPr>
            <w:tcW w:type="dxa" w:w="3389"/>
            <w:vAlign w:val="center"/>
            <w:shd w:fill="FFFFFF"/>
          </w:tcPr>
          <w:p>
            <w:pPr>
              <w:spacing w:after="60"/>
            </w:pPr>
            <w:r>
              <w:rPr>
                <w:b/>
                <w:i w:val="0"/>
                <w:sz w:val="22"/>
              </w:rPr>
              <w:t>Wind</w:t>
            </w:r>
          </w:p>
        </w:tc>
        <w:tc>
          <w:tcPr>
            <w:tcW w:type="dxa" w:w="3389"/>
            <w:vAlign w:val="center"/>
            <w:shd w:fill="FFFFFF"/>
          </w:tcPr>
          <w:p>
            <w:pPr>
              <w:spacing w:after="60"/>
            </w:pPr>
            <w:r>
              <w:rPr>
                <w:b w:val="0"/>
                <w:i w:val="0"/>
                <w:sz w:val="22"/>
              </w:rPr>
              <w:t>Air moves abundant, light pollen between exposed reproductive structures.</w:t>
            </w:r>
          </w:p>
        </w:tc>
        <w:tc>
          <w:tcPr>
            <w:tcW w:type="dxa" w:w="3389"/>
            <w:vAlign w:val="center"/>
            <w:shd w:fill="FFFFFF"/>
          </w:tcPr>
          <w:p>
            <w:pPr>
              <w:spacing w:after="60"/>
            </w:pPr>
            <w:r>
              <w:rPr>
                <w:b w:val="0"/>
                <w:i w:val="0"/>
                <w:sz w:val="22"/>
              </w:rPr>
              <w:t>Grasses, many temperate trees, many conifers. Distance and weather affect delivery.</w:t>
            </w:r>
          </w:p>
        </w:tc>
      </w:tr>
      <w:tr>
        <w:trPr>
          <w:cantSplit/>
        </w:trPr>
        <w:tc>
          <w:tcPr>
            <w:tcW w:type="dxa" w:w="3389"/>
            <w:vAlign w:val="center"/>
            <w:shd w:fill="FFFFFF"/>
          </w:tcPr>
          <w:p>
            <w:pPr>
              <w:spacing w:after="60"/>
            </w:pPr>
            <w:r>
              <w:rPr>
                <w:b/>
                <w:i w:val="0"/>
                <w:sz w:val="22"/>
              </w:rPr>
              <w:t>Insects</w:t>
            </w:r>
          </w:p>
        </w:tc>
        <w:tc>
          <w:tcPr>
            <w:tcW w:type="dxa" w:w="3389"/>
            <w:vAlign w:val="center"/>
            <w:shd w:fill="FFFFFF"/>
          </w:tcPr>
          <w:p>
            <w:pPr>
              <w:spacing w:after="60"/>
            </w:pPr>
            <w:r>
              <w:rPr>
                <w:b w:val="0"/>
                <w:i w:val="0"/>
                <w:sz w:val="22"/>
              </w:rPr>
              <w:t>Visitors transfer pollen while seeking nectar, pollen, mates, or other rewards.</w:t>
            </w:r>
          </w:p>
        </w:tc>
        <w:tc>
          <w:tcPr>
            <w:tcW w:type="dxa" w:w="3389"/>
            <w:vAlign w:val="center"/>
            <w:shd w:fill="FFFFFF"/>
          </w:tcPr>
          <w:p>
            <w:pPr>
              <w:spacing w:after="60"/>
            </w:pPr>
            <w:r>
              <w:rPr>
                <w:b w:val="0"/>
                <w:i w:val="0"/>
                <w:sz w:val="22"/>
              </w:rPr>
              <w:t>Bees, flies, beetles, butterflies, moths, and wasps. A visitor is effective only if it contacts the right parts.</w:t>
            </w:r>
          </w:p>
        </w:tc>
      </w:tr>
      <w:tr>
        <w:trPr>
          <w:cantSplit/>
        </w:trPr>
        <w:tc>
          <w:tcPr>
            <w:tcW w:type="dxa" w:w="3389"/>
            <w:vAlign w:val="center"/>
            <w:shd w:fill="FFFFFF"/>
          </w:tcPr>
          <w:p>
            <w:pPr>
              <w:spacing w:after="60"/>
            </w:pPr>
            <w:r>
              <w:rPr>
                <w:b/>
                <w:i w:val="0"/>
                <w:sz w:val="22"/>
              </w:rPr>
              <w:t>Birds and mammals</w:t>
            </w:r>
          </w:p>
        </w:tc>
        <w:tc>
          <w:tcPr>
            <w:tcW w:type="dxa" w:w="3389"/>
            <w:vAlign w:val="center"/>
            <w:shd w:fill="FFFFFF"/>
          </w:tcPr>
          <w:p>
            <w:pPr>
              <w:spacing w:after="60"/>
            </w:pPr>
            <w:r>
              <w:rPr>
                <w:b w:val="0"/>
                <w:i w:val="0"/>
                <w:sz w:val="22"/>
              </w:rPr>
              <w:t>Animals carry pollen on body surfaces while visiting flowers.</w:t>
            </w:r>
          </w:p>
        </w:tc>
        <w:tc>
          <w:tcPr>
            <w:tcW w:type="dxa" w:w="3389"/>
            <w:vAlign w:val="center"/>
            <w:shd w:fill="FFFFFF"/>
          </w:tcPr>
          <w:p>
            <w:pPr>
              <w:spacing w:after="60"/>
            </w:pPr>
            <w:r>
              <w:rPr>
                <w:b w:val="0"/>
                <w:i w:val="0"/>
                <w:sz w:val="22"/>
              </w:rPr>
              <w:t>Hummingbirds and nectar-feeding bats; some plants use other mammals.</w:t>
            </w:r>
          </w:p>
        </w:tc>
      </w:tr>
      <w:tr>
        <w:trPr>
          <w:cantSplit/>
        </w:trPr>
        <w:tc>
          <w:tcPr>
            <w:tcW w:type="dxa" w:w="3389"/>
            <w:vAlign w:val="center"/>
            <w:shd w:fill="FFFFFF"/>
          </w:tcPr>
          <w:p>
            <w:pPr>
              <w:spacing w:after="60"/>
            </w:pPr>
            <w:r>
              <w:rPr>
                <w:b/>
                <w:i w:val="0"/>
                <w:sz w:val="22"/>
              </w:rPr>
              <w:t>Water at the surface</w:t>
            </w:r>
          </w:p>
        </w:tc>
        <w:tc>
          <w:tcPr>
            <w:tcW w:type="dxa" w:w="3389"/>
            <w:vAlign w:val="center"/>
            <w:shd w:fill="FFFFFF"/>
          </w:tcPr>
          <w:p>
            <w:pPr>
              <w:spacing w:after="60"/>
            </w:pPr>
            <w:r>
              <w:rPr>
                <w:b w:val="0"/>
                <w:i w:val="0"/>
                <w:sz w:val="22"/>
              </w:rPr>
              <w:t>Pollen or male flowers move along the water surface.</w:t>
            </w:r>
          </w:p>
        </w:tc>
        <w:tc>
          <w:tcPr>
            <w:tcW w:type="dxa" w:w="3389"/>
            <w:vAlign w:val="center"/>
            <w:shd w:fill="FFFFFF"/>
          </w:tcPr>
          <w:p>
            <w:pPr>
              <w:spacing w:after="60"/>
            </w:pPr>
            <w:r>
              <w:rPr>
                <w:b w:val="0"/>
                <w:i w:val="0"/>
                <w:sz w:val="22"/>
              </w:rPr>
              <w:t>Vallisneria is a well-known example; flowers and pollen meet at the surface.</w:t>
            </w:r>
          </w:p>
        </w:tc>
      </w:tr>
      <w:tr>
        <w:trPr>
          <w:cantSplit/>
        </w:trPr>
        <w:tc>
          <w:tcPr>
            <w:tcW w:type="dxa" w:w="3389"/>
            <w:vAlign w:val="center"/>
            <w:shd w:fill="FFFFFF"/>
          </w:tcPr>
          <w:p>
            <w:pPr>
              <w:spacing w:after="60"/>
            </w:pPr>
            <w:r>
              <w:rPr>
                <w:b/>
                <w:i w:val="0"/>
                <w:sz w:val="22"/>
              </w:rPr>
              <w:t>Water below the surface</w:t>
            </w:r>
          </w:p>
        </w:tc>
        <w:tc>
          <w:tcPr>
            <w:tcW w:type="dxa" w:w="3389"/>
            <w:vAlign w:val="center"/>
            <w:shd w:fill="FFFFFF"/>
          </w:tcPr>
          <w:p>
            <w:pPr>
              <w:spacing w:after="60"/>
            </w:pPr>
            <w:r>
              <w:rPr>
                <w:b w:val="0"/>
                <w:i w:val="0"/>
                <w:sz w:val="22"/>
              </w:rPr>
              <w:t>Pollen travels through water to submerged receptive structures.</w:t>
            </w:r>
          </w:p>
        </w:tc>
        <w:tc>
          <w:tcPr>
            <w:tcW w:type="dxa" w:w="3389"/>
            <w:vAlign w:val="center"/>
            <w:shd w:fill="FFFFFF"/>
          </w:tcPr>
          <w:p>
            <w:pPr>
              <w:spacing w:after="60"/>
            </w:pPr>
            <w:r>
              <w:rPr>
                <w:b w:val="0"/>
                <w:i w:val="0"/>
                <w:sz w:val="22"/>
              </w:rPr>
              <w:t>Some seagrasses, including Zostera. This is uncommon among seed plants.</w:t>
            </w:r>
          </w:p>
        </w:tc>
      </w:tr>
      <w:tr>
        <w:trPr>
          <w:cantSplit/>
        </w:trPr>
        <w:tc>
          <w:tcPr>
            <w:tcW w:type="dxa" w:w="3389"/>
            <w:vAlign w:val="center"/>
            <w:shd w:fill="FFFFFF"/>
          </w:tcPr>
          <w:p>
            <w:pPr>
              <w:spacing w:after="60"/>
            </w:pPr>
            <w:r>
              <w:rPr>
                <w:b/>
                <w:i w:val="0"/>
                <w:sz w:val="22"/>
              </w:rPr>
              <w:t>People</w:t>
            </w:r>
          </w:p>
        </w:tc>
        <w:tc>
          <w:tcPr>
            <w:tcW w:type="dxa" w:w="3389"/>
            <w:vAlign w:val="center"/>
            <w:shd w:fill="FFFFFF"/>
          </w:tcPr>
          <w:p>
            <w:pPr>
              <w:spacing w:after="60"/>
            </w:pPr>
            <w:r>
              <w:rPr>
                <w:b w:val="0"/>
                <w:i w:val="0"/>
                <w:sz w:val="22"/>
              </w:rPr>
              <w:t>Pollen is transferred deliberately by hand or equipment.</w:t>
            </w:r>
          </w:p>
        </w:tc>
        <w:tc>
          <w:tcPr>
            <w:tcW w:type="dxa" w:w="3389"/>
            <w:vAlign w:val="center"/>
            <w:shd w:fill="FFFFFF"/>
          </w:tcPr>
          <w:p>
            <w:pPr>
              <w:spacing w:after="60"/>
            </w:pPr>
            <w:r>
              <w:rPr>
                <w:b w:val="0"/>
                <w:i w:val="0"/>
                <w:sz w:val="22"/>
              </w:rPr>
              <w:t>Breeding and crop production; compatibility and timing still matter.</w:t>
            </w:r>
          </w:p>
        </w:tc>
      </w:tr>
    </w:tbl>
    <w:p>
      <w:pPr>
        <w:spacing w:after="20"/>
      </w:pPr>
    </w:p>
    <w:p>
      <w:pPr>
        <w:pStyle w:val="Heading2"/>
      </w:pPr>
      <w:r>
        <w:t>Aquatic plants do not all use water for pollination</w:t>
      </w:r>
    </w:p>
    <w:p>
      <w:r>
        <w:rPr>
          <w:b w:val="0"/>
          <w:i w:val="0"/>
        </w:rPr>
        <w:t>Many aquatic plants raise their flowers above the water and use insects or wind. A water lily is rooted in an aquatic environment, yet its flower can be pollinated by animals. Habitat alone does not identify the pollen carrier.</w:t>
      </w:r>
    </w:p>
    <w:p>
      <w:r>
        <w:rPr>
          <w:b w:val="0"/>
          <w:i w:val="0"/>
        </w:rPr>
        <w:t>Self-pollination transfers pollen within a flower or between flowers on the same plant. Cross-pollination moves it between plants. Self-incompatibility can prevent self pollen from producing seeds; other species routinely self-fertilize. A second plant helps only if it supplies compatible pollen and flowers at the right time.</w:t>
      </w:r>
    </w:p>
    <w:p>
      <w:pPr>
        <w:pStyle w:val="Heading2"/>
      </w:pPr>
      <w:r>
        <w:t>Fruit set depends on more than flower visitors</w:t>
      </w:r>
    </w:p>
    <w:p>
      <w:r>
        <w:rPr>
          <w:b w:val="0"/>
          <w:i w:val="0"/>
        </w:rPr>
        <w:t>A visit is evidence of contact, not proof of successful pollen transfer. Heat, drought, frost, insufficient compatible pollen, or poor plant condition can prevent fruit development after pollination. Some fruit forms without fertilization through parthenocarpy.</w:t>
      </w:r>
    </w:p>
    <w:p>
      <w:r>
        <w:rPr>
          <w:b w:val="0"/>
          <w:i w:val="0"/>
        </w:rPr>
        <w:t>For a garden diagnosis, identify the species and cultivar, check whether a compatible pollen source is required, compare flowering dates, then observe visits and reproductive structures. Avoid assuming that every failed fruit crop needs more fertilizer.</w:t>
      </w:r>
    </w:p>
    <w:p>
      <w:pPr>
        <w:pStyle w:val="Heading2"/>
      </w:pPr>
      <w:r>
        <w:t>Support pollination across the whole season</w:t>
      </w:r>
    </w:p>
    <w:p>
      <w:r>
        <w:rPr>
          <w:b w:val="0"/>
          <w:i w:val="0"/>
        </w:rPr>
        <w:t>Provide varied flowering periods, nesting sites, and pesticide-free refuges. Preserve habitat for nocturnal as well as daytime visitors. Apply any pesticide only as its label permits, including restrictions intended to protect pollinators. Avoid treating open flowers while insects are visiting unless the label explicitly allows that use.</w:t>
      </w:r>
    </w:p>
    <w:p>
      <w:pPr>
        <w:pStyle w:val="Heading2"/>
      </w:pPr>
      <w:r>
        <w:t>Related Information Sheets</w:t>
      </w:r>
    </w:p>
    <w:p>
      <w:hyperlink r:id="rId12">
        <w:r>
          <w:rPr>
            <w:color w:val="245B43"/>
            <w:u w:val="single"/>
          </w:rPr>
          <w:t>Botany Information Sheet - Plant Evolution Timeline</w:t>
        </w:r>
      </w:hyperlink>
    </w:p>
    <w:p>
      <w:pPr>
        <w:pStyle w:val="Heading2"/>
      </w:pPr>
      <w:r>
        <w:t>Sources and further reading</w:t>
      </w:r>
    </w:p>
    <w:p>
      <w:hyperlink r:id="rId13">
        <w:r>
          <w:rPr>
            <w:color w:val="245B43"/>
            <w:u w:val="single"/>
          </w:rPr>
          <w:t>OpenStax Biology 2e section 32.2 Pollination and Fertilization</w:t>
        </w:r>
      </w:hyperlink>
    </w:p>
    <w:p>
      <w:hyperlink r:id="rId14">
        <w:r>
          <w:rPr>
            <w:color w:val="245B43"/>
            <w:u w:val="single"/>
          </w:rPr>
          <w:t>EPA Introduction to Pesticide Labels</w:t>
        </w:r>
      </w:hyperlink>
    </w:p>
    <w:p>
      <w:r>
        <w:rPr>
          <w:b w:val="0"/>
          <w:i w:val="0"/>
        </w:rPr>
        <w:t xml:space="preserve">Added September 22, 2026 · </w:t>
      </w:r>
      <w:hyperlink r:id="rId15">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pollination/" TargetMode="External"/><Relationship Id="rId12" Type="http://schemas.openxmlformats.org/officeDocument/2006/relationships/hyperlink" Target="https://planteducationproject.com/learn/plant-evolution-timeline/" TargetMode="External"/><Relationship Id="rId13" Type="http://schemas.openxmlformats.org/officeDocument/2006/relationships/hyperlink" Target="https://openstax.org/books/biology-2e/pages/32-2-pollination-and-fertilization" TargetMode="External"/><Relationship Id="rId14" Type="http://schemas.openxmlformats.org/officeDocument/2006/relationships/hyperlink" Target="https://www.epa.gov/pesticide-labels/introduction-pesticide-labels" TargetMode="External"/><Relationship Id="rId15" Type="http://schemas.openxmlformats.org/officeDocument/2006/relationships/hyperlink" Target="https://planteducationproject.com/information-sheets/master-index/" TargetMode="External"/><Relationship Id="rId16"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pollination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