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Plant Evolution Timeline</w:t>
      </w:r>
    </w:p>
    <w:p>
      <w:pPr>
        <w:spacing w:after="320"/>
      </w:pPr>
      <w:r>
        <w:t>Combined Information Sheets</w:t>
      </w:r>
    </w:p>
    <w:p>
      <w:pPr>
        <w:pStyle w:val="Heading1"/>
      </w:pPr>
      <w:r>
        <w:t>Plant Evolution Timeline</w:t>
      </w:r>
    </w:p>
    <w:p>
      <w:r>
        <w:rPr>
          <w:b/>
        </w:rPr>
        <w:t xml:space="preserve">Online Information Sheet: </w:t>
      </w:r>
      <w:hyperlink r:id="rId11">
        <w:r>
          <w:rPr>
            <w:color w:val="245B43"/>
            <w:u w:val="single"/>
          </w:rPr>
          <w:t>planteducationproject.com/learn/plant-evolution-timeline/</w:t>
        </w:r>
      </w:hyperlink>
    </w:p>
    <w:p>
      <w:r>
        <w:rPr>
          <w:b w:val="0"/>
          <w:i w:val="0"/>
        </w:rPr>
        <w:t>🌿 Information Sheet</w:t>
      </w:r>
    </w:p>
    <w:p>
      <w:r>
        <w:rPr>
          <w:b w:val="0"/>
          <w:i w:val="0"/>
        </w:rPr>
        <w:t>Plant evolution is a branching history of shared ancestry. Living mosses, ferns, conifers, and flowering plants are surviving lineages, not successive rungs on a ladder. This sheet follows major innovations from green algal ancestors to modern land-plant diversity.</w:t>
      </w:r>
    </w:p>
    <w:p>
      <w:pPr>
        <w:pStyle w:val="Heading2"/>
      </w:pPr>
      <w:r>
        <w:t>Read dates as evidence ranges</w:t>
      </w:r>
    </w:p>
    <w:p>
      <w:r>
        <w:rPr>
          <w:b w:val="0"/>
          <w:i w:val="0"/>
        </w:rPr>
        <w:t>Ma means million years ago. Fossils give minimum ages for recognized structures or groups; molecular estimates can place their origins earlier. The ranges below are broad teaching intervals, not exact birthdays. New fossils and revised phylogenies can change the boundaries.</w:t>
      </w:r>
    </w:p>
    <w:p>
      <w:pPr>
        <w:pStyle w:val="Heading2"/>
      </w:pPr>
      <w:r>
        <w:t>Major transitions through deep time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Approximate interval</w:t>
            </w:r>
          </w:p>
        </w:tc>
        <w:tc>
          <w:tcPr>
            <w:tcW w:type="dxa" w:w="3389"/>
            <w:vAlign w:val="center"/>
            <w:shd w:fill="E9EDF0"/>
          </w:tcPr>
          <w:p>
            <w:pPr>
              <w:spacing w:after="60"/>
            </w:pPr>
            <w:r>
              <w:rPr>
                <w:b/>
                <w:i w:val="0"/>
                <w:sz w:val="22"/>
              </w:rPr>
              <w:t>Evidence or transition</w:t>
            </w:r>
          </w:p>
        </w:tc>
        <w:tc>
          <w:tcPr>
            <w:tcW w:type="dxa" w:w="3389"/>
            <w:vAlign w:val="center"/>
            <w:shd w:fill="E9EDF0"/>
          </w:tcPr>
          <w:p>
            <w:pPr>
              <w:spacing w:after="60"/>
            </w:pPr>
            <w:r>
              <w:rPr>
                <w:b/>
                <w:i w:val="0"/>
                <w:sz w:val="22"/>
              </w:rPr>
              <w:t>Why it matters</w:t>
            </w:r>
          </w:p>
        </w:tc>
      </w:tr>
      <w:tr>
        <w:trPr>
          <w:cantSplit/>
        </w:trPr>
        <w:tc>
          <w:tcPr>
            <w:tcW w:type="dxa" w:w="3389"/>
            <w:vAlign w:val="center"/>
            <w:shd w:fill="FFFFFF"/>
          </w:tcPr>
          <w:p>
            <w:pPr>
              <w:spacing w:after="60"/>
            </w:pPr>
            <w:r>
              <w:rPr>
                <w:b/>
                <w:i w:val="0"/>
                <w:sz w:val="22"/>
              </w:rPr>
              <w:t>Before 470 Ma</w:t>
            </w:r>
          </w:p>
        </w:tc>
        <w:tc>
          <w:tcPr>
            <w:tcW w:type="dxa" w:w="3389"/>
            <w:vAlign w:val="center"/>
            <w:shd w:fill="FFFFFF"/>
          </w:tcPr>
          <w:p>
            <w:pPr>
              <w:spacing w:after="60"/>
            </w:pPr>
            <w:r>
              <w:rPr>
                <w:b w:val="0"/>
                <w:i w:val="0"/>
                <w:sz w:val="22"/>
              </w:rPr>
              <w:t>Green algal lineages preceded land plants.</w:t>
            </w:r>
          </w:p>
        </w:tc>
        <w:tc>
          <w:tcPr>
            <w:tcW w:type="dxa" w:w="3389"/>
            <w:vAlign w:val="center"/>
            <w:shd w:fill="FFFFFF"/>
          </w:tcPr>
          <w:p>
            <w:pPr>
              <w:spacing w:after="60"/>
            </w:pPr>
            <w:r>
              <w:rPr>
                <w:b w:val="0"/>
                <w:i w:val="0"/>
                <w:sz w:val="22"/>
              </w:rPr>
              <w:t>Land plants share ancestry with streptophyte algae; living algae are not all their direct ancestors.</w:t>
            </w:r>
          </w:p>
        </w:tc>
      </w:tr>
      <w:tr>
        <w:trPr>
          <w:cantSplit/>
        </w:trPr>
        <w:tc>
          <w:tcPr>
            <w:tcW w:type="dxa" w:w="3389"/>
            <w:vAlign w:val="center"/>
            <w:shd w:fill="FFFFFF"/>
          </w:tcPr>
          <w:p>
            <w:pPr>
              <w:spacing w:after="60"/>
            </w:pPr>
            <w:r>
              <w:rPr>
                <w:b/>
                <w:i w:val="0"/>
                <w:sz w:val="22"/>
              </w:rPr>
              <w:t>About 470 Ma</w:t>
            </w:r>
          </w:p>
        </w:tc>
        <w:tc>
          <w:tcPr>
            <w:tcW w:type="dxa" w:w="3389"/>
            <w:vAlign w:val="center"/>
            <w:shd w:fill="FFFFFF"/>
          </w:tcPr>
          <w:p>
            <w:pPr>
              <w:spacing w:after="60"/>
            </w:pPr>
            <w:r>
              <w:rPr>
                <w:b w:val="0"/>
                <w:i w:val="0"/>
                <w:sz w:val="22"/>
              </w:rPr>
              <w:t>Early land-plant spores occur in the fossil record.</w:t>
            </w:r>
          </w:p>
        </w:tc>
        <w:tc>
          <w:tcPr>
            <w:tcW w:type="dxa" w:w="3389"/>
            <w:vAlign w:val="center"/>
            <w:shd w:fill="FFFFFF"/>
          </w:tcPr>
          <w:p>
            <w:pPr>
              <w:spacing w:after="60"/>
            </w:pPr>
            <w:r>
              <w:rPr>
                <w:b w:val="0"/>
                <w:i w:val="0"/>
                <w:sz w:val="22"/>
              </w:rPr>
              <w:t>Protection of reproductive cells helped life persist outside continuous water.</w:t>
            </w:r>
          </w:p>
        </w:tc>
      </w:tr>
      <w:tr>
        <w:trPr>
          <w:cantSplit/>
        </w:trPr>
        <w:tc>
          <w:tcPr>
            <w:tcW w:type="dxa" w:w="3389"/>
            <w:vAlign w:val="center"/>
            <w:shd w:fill="FFFFFF"/>
          </w:tcPr>
          <w:p>
            <w:pPr>
              <w:spacing w:after="60"/>
            </w:pPr>
            <w:r>
              <w:rPr>
                <w:b/>
                <w:i w:val="0"/>
                <w:sz w:val="22"/>
              </w:rPr>
              <w:t>About 430–420 Ma</w:t>
            </w:r>
          </w:p>
        </w:tc>
        <w:tc>
          <w:tcPr>
            <w:tcW w:type="dxa" w:w="3389"/>
            <w:vAlign w:val="center"/>
            <w:shd w:fill="FFFFFF"/>
          </w:tcPr>
          <w:p>
            <w:pPr>
              <w:spacing w:after="60"/>
            </w:pPr>
            <w:r>
              <w:rPr>
                <w:b w:val="0"/>
                <w:i w:val="0"/>
                <w:sz w:val="22"/>
              </w:rPr>
              <w:t>Early vascular land plants become well documented.</w:t>
            </w:r>
          </w:p>
        </w:tc>
        <w:tc>
          <w:tcPr>
            <w:tcW w:type="dxa" w:w="3389"/>
            <w:vAlign w:val="center"/>
            <w:shd w:fill="FFFFFF"/>
          </w:tcPr>
          <w:p>
            <w:pPr>
              <w:spacing w:after="60"/>
            </w:pPr>
            <w:r>
              <w:rPr>
                <w:b w:val="0"/>
                <w:i w:val="0"/>
                <w:sz w:val="22"/>
              </w:rPr>
              <w:t>Conducting tissues and branching shoots supported transport and larger bodies.</w:t>
            </w:r>
          </w:p>
        </w:tc>
      </w:tr>
      <w:tr>
        <w:trPr>
          <w:cantSplit/>
        </w:trPr>
        <w:tc>
          <w:tcPr>
            <w:tcW w:type="dxa" w:w="3389"/>
            <w:vAlign w:val="center"/>
            <w:shd w:fill="FFFFFF"/>
          </w:tcPr>
          <w:p>
            <w:pPr>
              <w:spacing w:after="60"/>
            </w:pPr>
            <w:r>
              <w:rPr>
                <w:b/>
                <w:i w:val="0"/>
                <w:sz w:val="22"/>
              </w:rPr>
              <w:t>About 390–360 Ma</w:t>
            </w:r>
          </w:p>
        </w:tc>
        <w:tc>
          <w:tcPr>
            <w:tcW w:type="dxa" w:w="3389"/>
            <w:vAlign w:val="center"/>
            <w:shd w:fill="FFFFFF"/>
          </w:tcPr>
          <w:p>
            <w:pPr>
              <w:spacing w:after="60"/>
            </w:pPr>
            <w:r>
              <w:rPr>
                <w:b w:val="0"/>
                <w:i w:val="0"/>
                <w:sz w:val="22"/>
              </w:rPr>
              <w:t>Forests, complex roots, and seed precursors diversified.</w:t>
            </w:r>
          </w:p>
        </w:tc>
        <w:tc>
          <w:tcPr>
            <w:tcW w:type="dxa" w:w="3389"/>
            <w:vAlign w:val="center"/>
            <w:shd w:fill="FFFFFF"/>
          </w:tcPr>
          <w:p>
            <w:pPr>
              <w:spacing w:after="60"/>
            </w:pPr>
            <w:r>
              <w:rPr>
                <w:b w:val="0"/>
                <w:i w:val="0"/>
                <w:sz w:val="22"/>
              </w:rPr>
              <w:t>Plants changed weathering, soils, carbon storage, and terrestrial habitats.</w:t>
            </w:r>
          </w:p>
        </w:tc>
      </w:tr>
      <w:tr>
        <w:trPr>
          <w:cantSplit/>
        </w:trPr>
        <w:tc>
          <w:tcPr>
            <w:tcW w:type="dxa" w:w="3389"/>
            <w:vAlign w:val="center"/>
            <w:shd w:fill="FFFFFF"/>
          </w:tcPr>
          <w:p>
            <w:pPr>
              <w:spacing w:after="60"/>
            </w:pPr>
            <w:r>
              <w:rPr>
                <w:b/>
                <w:i w:val="0"/>
                <w:sz w:val="22"/>
              </w:rPr>
              <w:t>About 365 Ma onward</w:t>
            </w:r>
          </w:p>
        </w:tc>
        <w:tc>
          <w:tcPr>
            <w:tcW w:type="dxa" w:w="3389"/>
            <w:vAlign w:val="center"/>
            <w:shd w:fill="FFFFFF"/>
          </w:tcPr>
          <w:p>
            <w:pPr>
              <w:spacing w:after="60"/>
            </w:pPr>
            <w:r>
              <w:rPr>
                <w:b w:val="0"/>
                <w:i w:val="0"/>
                <w:sz w:val="22"/>
              </w:rPr>
              <w:t>Early seeds appear; seed plants diversify.</w:t>
            </w:r>
          </w:p>
        </w:tc>
        <w:tc>
          <w:tcPr>
            <w:tcW w:type="dxa" w:w="3389"/>
            <w:vAlign w:val="center"/>
            <w:shd w:fill="FFFFFF"/>
          </w:tcPr>
          <w:p>
            <w:pPr>
              <w:spacing w:after="60"/>
            </w:pPr>
            <w:r>
              <w:rPr>
                <w:b w:val="0"/>
                <w:i w:val="0"/>
                <w:sz w:val="22"/>
              </w:rPr>
              <w:t>An embryo, food reserve, and protective covering aid persistence and dispersal.</w:t>
            </w:r>
          </w:p>
        </w:tc>
      </w:tr>
      <w:tr>
        <w:trPr>
          <w:cantSplit/>
        </w:trPr>
        <w:tc>
          <w:tcPr>
            <w:tcW w:type="dxa" w:w="3389"/>
            <w:vAlign w:val="center"/>
            <w:shd w:fill="FFFFFF"/>
          </w:tcPr>
          <w:p>
            <w:pPr>
              <w:spacing w:after="60"/>
            </w:pPr>
            <w:r>
              <w:rPr>
                <w:b/>
                <w:i w:val="0"/>
                <w:sz w:val="22"/>
              </w:rPr>
              <w:t>About 320–250 Ma</w:t>
            </w:r>
          </w:p>
        </w:tc>
        <w:tc>
          <w:tcPr>
            <w:tcW w:type="dxa" w:w="3389"/>
            <w:vAlign w:val="center"/>
            <w:shd w:fill="FFFFFF"/>
          </w:tcPr>
          <w:p>
            <w:pPr>
              <w:spacing w:after="60"/>
            </w:pPr>
            <w:r>
              <w:rPr>
                <w:b w:val="0"/>
                <w:i w:val="0"/>
                <w:sz w:val="22"/>
              </w:rPr>
              <w:t>Major seed-plant lineages expanded.</w:t>
            </w:r>
          </w:p>
        </w:tc>
        <w:tc>
          <w:tcPr>
            <w:tcW w:type="dxa" w:w="3389"/>
            <w:vAlign w:val="center"/>
            <w:shd w:fill="FFFFFF"/>
          </w:tcPr>
          <w:p>
            <w:pPr>
              <w:spacing w:after="60"/>
            </w:pPr>
            <w:r>
              <w:rPr>
                <w:b w:val="0"/>
                <w:i w:val="0"/>
                <w:sz w:val="22"/>
              </w:rPr>
              <w:t>Pollen reduces dependence on external liquid water for fertilization.</w:t>
            </w:r>
          </w:p>
        </w:tc>
      </w:tr>
      <w:tr>
        <w:trPr>
          <w:cantSplit/>
        </w:trPr>
        <w:tc>
          <w:tcPr>
            <w:tcW w:type="dxa" w:w="3389"/>
            <w:vAlign w:val="center"/>
            <w:shd w:fill="FFFFFF"/>
          </w:tcPr>
          <w:p>
            <w:pPr>
              <w:spacing w:after="60"/>
            </w:pPr>
            <w:r>
              <w:rPr>
                <w:b/>
                <w:i w:val="0"/>
                <w:sz w:val="22"/>
              </w:rPr>
              <w:t>About 140–125 Ma</w:t>
            </w:r>
          </w:p>
        </w:tc>
        <w:tc>
          <w:tcPr>
            <w:tcW w:type="dxa" w:w="3389"/>
            <w:vAlign w:val="center"/>
            <w:shd w:fill="FFFFFF"/>
          </w:tcPr>
          <w:p>
            <w:pPr>
              <w:spacing w:after="60"/>
            </w:pPr>
            <w:r>
              <w:rPr>
                <w:b w:val="0"/>
                <w:i w:val="0"/>
                <w:sz w:val="22"/>
              </w:rPr>
              <w:t>Unequivocal early flowering-plant fossils become abundant.</w:t>
            </w:r>
          </w:p>
        </w:tc>
        <w:tc>
          <w:tcPr>
            <w:tcW w:type="dxa" w:w="3389"/>
            <w:vAlign w:val="center"/>
            <w:shd w:fill="FFFFFF"/>
          </w:tcPr>
          <w:p>
            <w:pPr>
              <w:spacing w:after="60"/>
            </w:pPr>
            <w:r>
              <w:rPr>
                <w:b w:val="0"/>
                <w:i w:val="0"/>
                <w:sz w:val="22"/>
              </w:rPr>
              <w:t>Flowers, enclosed ovules, and fruits reshape reproductive and dispersal relationships.</w:t>
            </w:r>
          </w:p>
        </w:tc>
      </w:tr>
      <w:tr>
        <w:trPr>
          <w:cantSplit/>
        </w:trPr>
        <w:tc>
          <w:tcPr>
            <w:tcW w:type="dxa" w:w="3389"/>
            <w:vAlign w:val="center"/>
            <w:shd w:fill="FFFFFF"/>
          </w:tcPr>
          <w:p>
            <w:pPr>
              <w:spacing w:after="60"/>
            </w:pPr>
            <w:r>
              <w:rPr>
                <w:b/>
                <w:i w:val="0"/>
                <w:sz w:val="22"/>
              </w:rPr>
              <w:t>66 Ma to present</w:t>
            </w:r>
          </w:p>
        </w:tc>
        <w:tc>
          <w:tcPr>
            <w:tcW w:type="dxa" w:w="3389"/>
            <w:vAlign w:val="center"/>
            <w:shd w:fill="FFFFFF"/>
          </w:tcPr>
          <w:p>
            <w:pPr>
              <w:spacing w:after="60"/>
            </w:pPr>
            <w:r>
              <w:rPr>
                <w:b w:val="0"/>
                <w:i w:val="0"/>
                <w:sz w:val="22"/>
              </w:rPr>
              <w:t>Modern ecosystems and many living groups diversify.</w:t>
            </w:r>
          </w:p>
        </w:tc>
        <w:tc>
          <w:tcPr>
            <w:tcW w:type="dxa" w:w="3389"/>
            <w:vAlign w:val="center"/>
            <w:shd w:fill="FFFFFF"/>
          </w:tcPr>
          <w:p>
            <w:pPr>
              <w:spacing w:after="60"/>
            </w:pPr>
            <w:r>
              <w:rPr>
                <w:b w:val="0"/>
                <w:i w:val="0"/>
                <w:sz w:val="22"/>
              </w:rPr>
              <w:t>Climate, plate movement, disturbance, and coevolution continue to sort lineages.</w:t>
            </w:r>
          </w:p>
        </w:tc>
      </w:tr>
    </w:tbl>
    <w:p>
      <w:pPr>
        <w:spacing w:after="20"/>
      </w:pPr>
    </w:p>
    <w:p>
      <w:pPr>
        <w:pStyle w:val="Heading2"/>
      </w:pPr>
      <w:r>
        <w:t>Innovations come with tradeoffs</w:t>
      </w:r>
    </w:p>
    <w:p>
      <w:r>
        <w:rPr>
          <w:b w:val="0"/>
          <w:i w:val="0"/>
        </w:rPr>
        <w:t>A cuticle reduces water loss but restricts exchange; pores provide a controllable pathway. Vascular tissue transports water and solutes but requires investment and creates vulnerability to transport failure. Roots anchor plants and obtain resources while also supporting microbial partnerships.</w:t>
      </w:r>
    </w:p>
    <w:p>
      <w:r>
        <w:rPr>
          <w:b w:val="0"/>
          <w:i w:val="0"/>
        </w:rPr>
        <w:t>Seeds protect embryos but take resources to build. Flowers and fruits can improve targeted transfer and dispersal, yet dependence on a particular partner creates another vulnerability. No innovation is best in every environment.</w:t>
      </w:r>
    </w:p>
    <w:p>
      <w:pPr>
        <w:pStyle w:val="Heading2"/>
      </w:pPr>
      <w:r>
        <w:t>Life cycles also changed</w:t>
      </w:r>
    </w:p>
    <w:p>
      <w:r>
        <w:rPr>
          <w:b w:val="0"/>
          <w:i w:val="0"/>
        </w:rPr>
        <w:t>All land plants alternate multicellular haploid gametophyte and diploid sporophyte generations. The conspicuous moss plant is usually the gametophyte. In ferns and seed plants, the larger familiar body is the sporophyte. Seed plants retain strongly reduced gametophytes within pollen and ovules.</w:t>
      </w:r>
    </w:p>
    <w:p>
      <w:r>
        <w:rPr>
          <w:b w:val="0"/>
          <w:i w:val="0"/>
        </w:rPr>
        <w:t>Mosses have persisted alongside vascular plants for hundreds of millions of years. Their continued success in suitable habitats is evidence of effective adaptation, not incomplete evolution.</w:t>
      </w:r>
    </w:p>
    <w:p>
      <w:pPr>
        <w:pStyle w:val="Heading2"/>
      </w:pPr>
      <w:r>
        <w:t>Connect evolution to plant care</w:t>
      </w:r>
    </w:p>
    <w:p>
      <w:r>
        <w:rPr>
          <w:b w:val="0"/>
          <w:i w:val="0"/>
        </w:rPr>
        <w:t>A forest epiphyte, an arid-land succulent, and a wetland sedge inherit different combinations of anatomy and physiology. Identify the lineage and native environment before generalizing a watering rule. Evolutionary history supplies hypotheses about function; observation tests those hypotheses for the actual plant.</w:t>
      </w:r>
    </w:p>
    <w:p>
      <w:pPr>
        <w:pStyle w:val="Heading2"/>
      </w:pPr>
      <w:r>
        <w:t>Related Information Sheets</w:t>
      </w:r>
    </w:p>
    <w:p>
      <w:hyperlink r:id="rId12">
        <w:r>
          <w:rPr>
            <w:color w:val="245B43"/>
            <w:u w:val="single"/>
          </w:rPr>
          <w:t>Zoology Information Sheet - Animal Evolution Timeline</w:t>
        </w:r>
      </w:hyperlink>
    </w:p>
    <w:p>
      <w:hyperlink r:id="rId13">
        <w:r>
          <w:rPr>
            <w:color w:val="245B43"/>
            <w:u w:val="single"/>
          </w:rPr>
          <w:t>Botany Information Sheet - Moss</w:t>
        </w:r>
      </w:hyperlink>
    </w:p>
    <w:p>
      <w:pPr>
        <w:pStyle w:val="Heading2"/>
      </w:pPr>
      <w:r>
        <w:t>Sources and further reading</w:t>
      </w:r>
    </w:p>
    <w:p>
      <w:hyperlink r:id="rId14">
        <w:r>
          <w:rPr>
            <w:color w:val="245B43"/>
            <w:u w:val="single"/>
          </w:rPr>
          <w:t>OpenStax Biology 2e section 25.1 Early Plant Life</w:t>
        </w:r>
      </w:hyperlink>
    </w:p>
    <w:p>
      <w:hyperlink r:id="rId15">
        <w:r>
          <w:rPr>
            <w:color w:val="245B43"/>
            <w:u w:val="single"/>
          </w:rPr>
          <w:t>OpenStax Biology 2e section 25.4 Seedless Vascular Plants</w:t>
        </w:r>
      </w:hyperlink>
    </w:p>
    <w:p>
      <w:hyperlink r:id="rId16">
        <w:r>
          <w:rPr>
            <w:color w:val="245B43"/>
            <w:u w:val="single"/>
          </w:rPr>
          <w:t>OpenStax Biology 2e section 26.1 Evolution of Seed Plants</w:t>
        </w:r>
      </w:hyperlink>
    </w:p>
    <w:p>
      <w:hyperlink r:id="rId17">
        <w:r>
          <w:rPr>
            <w:color w:val="245B43"/>
            <w:u w:val="single"/>
          </w:rPr>
          <w:t>International Commission on Stratigraphy chart</w:t>
        </w:r>
      </w:hyperlink>
    </w:p>
    <w:p>
      <w:r>
        <w:rPr>
          <w:b w:val="0"/>
          <w:i w:val="0"/>
        </w:rPr>
        <w:t xml:space="preserve">Added September 22, 2026 · </w:t>
      </w:r>
      <w:hyperlink r:id="rId18">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plant-evolution-timeline/" TargetMode="External"/><Relationship Id="rId12" Type="http://schemas.openxmlformats.org/officeDocument/2006/relationships/hyperlink" Target="https://planteducationproject.com/learn/animal-evolution-timeline/" TargetMode="External"/><Relationship Id="rId13" Type="http://schemas.openxmlformats.org/officeDocument/2006/relationships/hyperlink" Target="https://planteducationproject.com/learn/moss/" TargetMode="External"/><Relationship Id="rId14" Type="http://schemas.openxmlformats.org/officeDocument/2006/relationships/hyperlink" Target="https://openstax.org/books/biology-2e/pages/25-1-early-plant-life" TargetMode="External"/><Relationship Id="rId15" Type="http://schemas.openxmlformats.org/officeDocument/2006/relationships/hyperlink" Target="https://openstax.org/books/biology-2e/pages/25-4-seedless-vascular-plants" TargetMode="External"/><Relationship Id="rId16" Type="http://schemas.openxmlformats.org/officeDocument/2006/relationships/hyperlink" Target="https://openstax.org/books/biology-2e/pages/26-1-evolution-of-seed-plants" TargetMode="External"/><Relationship Id="rId17" Type="http://schemas.openxmlformats.org/officeDocument/2006/relationships/hyperlink" Target="https://stratigraphy.org/chart" TargetMode="External"/><Relationship Id="rId18" Type="http://schemas.openxmlformats.org/officeDocument/2006/relationships/hyperlink" Target="https://planteducationproject.com/information-sheets/master-index/" TargetMode="External"/><Relationship Id="rId19"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plant evolution timeline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