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Grafting</w:t>
      </w:r>
    </w:p>
    <w:p>
      <w:pPr>
        <w:spacing w:after="320"/>
      </w:pPr>
      <w:r>
        <w:t>Combined Information Sheets</w:t>
      </w:r>
    </w:p>
    <w:p>
      <w:pPr>
        <w:pStyle w:val="Heading1"/>
      </w:pPr>
      <w:r>
        <w:t>Grafting</w:t>
      </w:r>
    </w:p>
    <w:p>
      <w:r>
        <w:rPr>
          <w:b/>
        </w:rPr>
        <w:t xml:space="preserve">Online Information Sheet: </w:t>
      </w:r>
      <w:hyperlink r:id="rId11">
        <w:r>
          <w:rPr>
            <w:color w:val="245B43"/>
            <w:u w:val="single"/>
          </w:rPr>
          <w:t>planteducationproject.com/learn/grafting/</w:t>
        </w:r>
      </w:hyperlink>
    </w:p>
    <w:p>
      <w:r>
        <w:rPr>
          <w:b w:val="0"/>
          <w:i w:val="0"/>
        </w:rPr>
        <w:t>🌿 Information Sheet</w:t>
      </w:r>
    </w:p>
    <w:p>
      <w:r>
        <w:rPr>
          <w:b w:val="0"/>
          <w:i/>
        </w:rPr>
        <w:t>Joining compatible plants so they grow as one</w:t>
      </w:r>
    </w:p>
    <w:p>
      <w:hyperlink r:id="rId12">
        <w:r>
          <w:rPr>
            <w:color w:val="245B43"/>
            <w:u w:val="single"/>
          </w:rPr>
          <w:t>PlantEducationProject.com</w:t>
        </w:r>
      </w:hyperlink>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CORE PRINCIPLE  </w:t>
            </w:r>
            <w:r>
              <w:rPr>
                <w:b/>
                <w:sz w:val="22"/>
              </w:rPr>
              <w:t>Success depends on living cambium contact. The thin cambium layer just beneath the bark of the scion and rootstock must touch firmly—on at least one side—and remain moist, clean, and motionless while the graft union forms.</w:t>
            </w:r>
          </w:p>
        </w:tc>
      </w:tr>
    </w:tbl>
    <w:p>
      <w:pPr>
        <w:spacing w:after="20"/>
      </w:pPr>
    </w:p>
    <w:p>
      <w:pPr>
        <w:pStyle w:val="Heading2"/>
      </w:pPr>
      <w:r>
        <w:t>What Grafting Does</w:t>
      </w:r>
    </w:p>
    <w:p>
      <w:r>
        <w:rPr>
          <w:b w:val="0"/>
          <w:i w:val="0"/>
        </w:rPr>
        <w:t xml:space="preserve">Grafting permanently joins two plant parts: the </w:t>
      </w:r>
      <w:r>
        <w:rPr>
          <w:b/>
          <w:i w:val="0"/>
        </w:rPr>
        <w:t>scion</w:t>
      </w:r>
      <w:r>
        <w:t xml:space="preserve"> (the desired shoot or cultivar) and the </w:t>
      </w:r>
      <w:r>
        <w:rPr>
          <w:b/>
          <w:i w:val="0"/>
        </w:rPr>
        <w:t>rootstock</w:t>
      </w:r>
      <w:r>
        <w:t xml:space="preserve"> (the rooted lower plant). Budding uses a single bud rather than a stem piece.</w:t>
      </w:r>
    </w:p>
    <w:p>
      <w:pPr>
        <w:pStyle w:val="ListBullet"/>
      </w:pPr>
      <w:r>
        <w:rPr>
          <w:b w:val="0"/>
          <w:i w:val="0"/>
        </w:rPr>
        <w:t>Preserves a named cultivar that will not come true from seed.</w:t>
      </w:r>
    </w:p>
    <w:p>
      <w:pPr>
        <w:pStyle w:val="ListBullet"/>
      </w:pPr>
      <w:r>
        <w:rPr>
          <w:b w:val="0"/>
          <w:i w:val="0"/>
        </w:rPr>
        <w:t>Combines desirable fruit, flower, or stem traits with disease resistance, vigor, size control, or soil tolerance.</w:t>
      </w:r>
    </w:p>
    <w:p>
      <w:pPr>
        <w:pStyle w:val="ListBullet"/>
      </w:pPr>
      <w:r>
        <w:rPr>
          <w:b w:val="0"/>
          <w:i w:val="0"/>
        </w:rPr>
        <w:t>Repairs damaged trunks or changes an established tree to another cultivar.</w:t>
      </w:r>
    </w:p>
    <w:p>
      <w:pPr>
        <w:pStyle w:val="ListBullet"/>
      </w:pPr>
      <w:r>
        <w:rPr>
          <w:b w:val="0"/>
          <w:i w:val="0"/>
        </w:rPr>
        <w:t>Does not create a genetic hybrid: scion and rootstock remain genetically distinct.</w:t>
      </w:r>
    </w:p>
    <w:p>
      <w:pPr>
        <w:pStyle w:val="Heading2"/>
      </w:pPr>
      <w:r>
        <w:t>Before You Cut: Five Checks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Check</w:t>
            </w:r>
          </w:p>
        </w:tc>
        <w:tc>
          <w:tcPr>
            <w:tcW w:type="dxa" w:w="5083"/>
            <w:vAlign w:val="center"/>
            <w:shd w:fill="E9EDF0"/>
          </w:tcPr>
          <w:p>
            <w:pPr>
              <w:spacing w:after="60"/>
            </w:pPr>
            <w:r>
              <w:rPr>
                <w:b/>
                <w:i w:val="0"/>
                <w:sz w:val="22"/>
              </w:rPr>
              <w:t>What it means</w:t>
            </w:r>
          </w:p>
        </w:tc>
      </w:tr>
      <w:tr>
        <w:trPr>
          <w:cantSplit/>
        </w:trPr>
        <w:tc>
          <w:tcPr>
            <w:tcW w:type="dxa" w:w="5083"/>
            <w:vAlign w:val="center"/>
            <w:shd w:fill="FFFFFF"/>
          </w:tcPr>
          <w:p>
            <w:pPr>
              <w:spacing w:after="60"/>
            </w:pPr>
            <w:r>
              <w:rPr>
                <w:b/>
                <w:i w:val="0"/>
                <w:sz w:val="22"/>
              </w:rPr>
              <w:t>Compatibility</w:t>
            </w:r>
          </w:p>
        </w:tc>
        <w:tc>
          <w:tcPr>
            <w:tcW w:type="dxa" w:w="5083"/>
            <w:vAlign w:val="center"/>
            <w:shd w:fill="FFFFFF"/>
          </w:tcPr>
          <w:p>
            <w:pPr>
              <w:spacing w:after="60"/>
            </w:pPr>
            <w:r>
              <w:rPr>
                <w:b w:val="0"/>
                <w:i w:val="0"/>
                <w:sz w:val="22"/>
              </w:rPr>
              <w:t>Best within the same species; often possible within the same genus. Compatibility declines sharply across distant relatives.</w:t>
            </w:r>
          </w:p>
        </w:tc>
      </w:tr>
      <w:tr>
        <w:trPr>
          <w:cantSplit/>
        </w:trPr>
        <w:tc>
          <w:tcPr>
            <w:tcW w:type="dxa" w:w="5083"/>
            <w:vAlign w:val="center"/>
            <w:shd w:fill="FFFFFF"/>
          </w:tcPr>
          <w:p>
            <w:pPr>
              <w:spacing w:after="60"/>
            </w:pPr>
            <w:r>
              <w:rPr>
                <w:b/>
                <w:i w:val="0"/>
                <w:sz w:val="22"/>
              </w:rPr>
              <w:t>Plant health</w:t>
            </w:r>
          </w:p>
        </w:tc>
        <w:tc>
          <w:tcPr>
            <w:tcW w:type="dxa" w:w="5083"/>
            <w:vAlign w:val="center"/>
            <w:shd w:fill="FFFFFF"/>
          </w:tcPr>
          <w:p>
            <w:pPr>
              <w:spacing w:after="60"/>
            </w:pPr>
            <w:r>
              <w:rPr>
                <w:b w:val="0"/>
                <w:i w:val="0"/>
                <w:sz w:val="22"/>
              </w:rPr>
              <w:t>Use vigorous, pest-free stock and mature, disease-free scion wood.</w:t>
            </w:r>
          </w:p>
        </w:tc>
      </w:tr>
      <w:tr>
        <w:trPr>
          <w:cantSplit/>
        </w:trPr>
        <w:tc>
          <w:tcPr>
            <w:tcW w:type="dxa" w:w="5083"/>
            <w:vAlign w:val="center"/>
            <w:shd w:fill="FFFFFF"/>
          </w:tcPr>
          <w:p>
            <w:pPr>
              <w:spacing w:after="60"/>
            </w:pPr>
            <w:r>
              <w:rPr>
                <w:b/>
                <w:i w:val="0"/>
                <w:sz w:val="22"/>
              </w:rPr>
              <w:t>Timing</w:t>
            </w:r>
          </w:p>
        </w:tc>
        <w:tc>
          <w:tcPr>
            <w:tcW w:type="dxa" w:w="5083"/>
            <w:vAlign w:val="center"/>
            <w:shd w:fill="FFFFFF"/>
          </w:tcPr>
          <w:p>
            <w:pPr>
              <w:spacing w:after="60"/>
            </w:pPr>
            <w:r>
              <w:rPr>
                <w:b w:val="0"/>
                <w:i w:val="0"/>
                <w:sz w:val="22"/>
              </w:rPr>
              <w:t>Match the method to plant growth: dormant scions before budbreak; budding when bark “slips” readily.</w:t>
            </w:r>
          </w:p>
        </w:tc>
      </w:tr>
      <w:tr>
        <w:trPr>
          <w:cantSplit/>
        </w:trPr>
        <w:tc>
          <w:tcPr>
            <w:tcW w:type="dxa" w:w="5083"/>
            <w:vAlign w:val="center"/>
            <w:shd w:fill="FFFFFF"/>
          </w:tcPr>
          <w:p>
            <w:pPr>
              <w:spacing w:after="60"/>
            </w:pPr>
            <w:r>
              <w:rPr>
                <w:b/>
                <w:i w:val="0"/>
                <w:sz w:val="22"/>
              </w:rPr>
              <w:t>Diameter</w:t>
            </w:r>
          </w:p>
        </w:tc>
        <w:tc>
          <w:tcPr>
            <w:tcW w:type="dxa" w:w="5083"/>
            <w:vAlign w:val="center"/>
            <w:shd w:fill="FFFFFF"/>
          </w:tcPr>
          <w:p>
            <w:pPr>
              <w:spacing w:after="60"/>
            </w:pPr>
            <w:r>
              <w:rPr>
                <w:b w:val="0"/>
                <w:i w:val="0"/>
                <w:sz w:val="22"/>
              </w:rPr>
              <w:t>Choose a method suited to the relative sizes of scion and stock.</w:t>
            </w:r>
          </w:p>
        </w:tc>
      </w:tr>
      <w:tr>
        <w:trPr>
          <w:cantSplit/>
        </w:trPr>
        <w:tc>
          <w:tcPr>
            <w:tcW w:type="dxa" w:w="5083"/>
            <w:vAlign w:val="center"/>
            <w:shd w:fill="FFFFFF"/>
          </w:tcPr>
          <w:p>
            <w:pPr>
              <w:spacing w:after="60"/>
            </w:pPr>
            <w:r>
              <w:rPr>
                <w:b/>
                <w:i w:val="0"/>
                <w:sz w:val="22"/>
              </w:rPr>
              <w:t>Sanitation</w:t>
            </w:r>
          </w:p>
        </w:tc>
        <w:tc>
          <w:tcPr>
            <w:tcW w:type="dxa" w:w="5083"/>
            <w:vAlign w:val="center"/>
            <w:shd w:fill="FFFFFF"/>
          </w:tcPr>
          <w:p>
            <w:pPr>
              <w:spacing w:after="60"/>
            </w:pPr>
            <w:r>
              <w:rPr>
                <w:b w:val="0"/>
                <w:i w:val="0"/>
                <w:sz w:val="22"/>
              </w:rPr>
              <w:t>Use a very sharp blade. Disinfect between plants, especially when disease is suspected.</w:t>
            </w:r>
          </w:p>
        </w:tc>
      </w:tr>
    </w:tbl>
    <w:p>
      <w:pPr>
        <w:spacing w:after="20"/>
      </w:pPr>
    </w:p>
    <w:p>
      <w:pPr>
        <w:pStyle w:val="Heading2"/>
      </w:pPr>
      <w:r>
        <w:t>Three Useful Methods</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Method</w:t>
            </w:r>
          </w:p>
        </w:tc>
        <w:tc>
          <w:tcPr>
            <w:tcW w:type="dxa" w:w="2541"/>
            <w:vAlign w:val="center"/>
            <w:shd w:fill="E9EDF0"/>
          </w:tcPr>
          <w:p>
            <w:pPr>
              <w:spacing w:after="60"/>
            </w:pPr>
            <w:r>
              <w:rPr>
                <w:b/>
                <w:i w:val="0"/>
                <w:sz w:val="22"/>
              </w:rPr>
              <w:t>Best timing</w:t>
            </w:r>
          </w:p>
        </w:tc>
        <w:tc>
          <w:tcPr>
            <w:tcW w:type="dxa" w:w="2541"/>
            <w:vAlign w:val="center"/>
            <w:shd w:fill="E9EDF0"/>
          </w:tcPr>
          <w:p>
            <w:pPr>
              <w:spacing w:after="60"/>
            </w:pPr>
            <w:r>
              <w:rPr>
                <w:b/>
                <w:i w:val="0"/>
                <w:sz w:val="22"/>
              </w:rPr>
              <w:t>Use when</w:t>
            </w:r>
          </w:p>
        </w:tc>
        <w:tc>
          <w:tcPr>
            <w:tcW w:type="dxa" w:w="2541"/>
            <w:vAlign w:val="center"/>
            <w:shd w:fill="E9EDF0"/>
          </w:tcPr>
          <w:p>
            <w:pPr>
              <w:spacing w:after="60"/>
            </w:pPr>
            <w:r>
              <w:rPr>
                <w:b/>
                <w:i w:val="0"/>
                <w:sz w:val="22"/>
              </w:rPr>
              <w:t>Common examples</w:t>
            </w:r>
          </w:p>
        </w:tc>
      </w:tr>
      <w:tr>
        <w:trPr>
          <w:cantSplit/>
        </w:trPr>
        <w:tc>
          <w:tcPr>
            <w:tcW w:type="dxa" w:w="2541"/>
            <w:vAlign w:val="center"/>
            <w:shd w:fill="FFFFFF"/>
          </w:tcPr>
          <w:p>
            <w:pPr>
              <w:spacing w:after="60"/>
            </w:pPr>
            <w:r>
              <w:rPr>
                <w:b/>
                <w:i w:val="0"/>
                <w:sz w:val="22"/>
              </w:rPr>
              <w:t>Whip-and-tongue</w:t>
            </w:r>
          </w:p>
        </w:tc>
        <w:tc>
          <w:tcPr>
            <w:tcW w:type="dxa" w:w="2541"/>
            <w:vAlign w:val="center"/>
            <w:shd w:fill="FFFFFF"/>
          </w:tcPr>
          <w:p>
            <w:pPr>
              <w:spacing w:after="60"/>
            </w:pPr>
            <w:r>
              <w:rPr>
                <w:b w:val="0"/>
                <w:i w:val="0"/>
                <w:sz w:val="22"/>
              </w:rPr>
              <w:t>Late winter or early spring; dormant stock and scion</w:t>
            </w:r>
          </w:p>
        </w:tc>
        <w:tc>
          <w:tcPr>
            <w:tcW w:type="dxa" w:w="2541"/>
            <w:vAlign w:val="center"/>
            <w:shd w:fill="FFFFFF"/>
          </w:tcPr>
          <w:p>
            <w:pPr>
              <w:spacing w:after="60"/>
            </w:pPr>
            <w:r>
              <w:rPr>
                <w:b w:val="0"/>
                <w:i w:val="0"/>
                <w:sz w:val="22"/>
              </w:rPr>
              <w:t>Stock and scion are about the same diameter</w:t>
            </w:r>
          </w:p>
        </w:tc>
        <w:tc>
          <w:tcPr>
            <w:tcW w:type="dxa" w:w="2541"/>
            <w:vAlign w:val="center"/>
            <w:shd w:fill="FFFFFF"/>
          </w:tcPr>
          <w:p>
            <w:pPr>
              <w:spacing w:after="60"/>
            </w:pPr>
            <w:r>
              <w:rPr>
                <w:b w:val="0"/>
                <w:i w:val="0"/>
                <w:sz w:val="22"/>
              </w:rPr>
              <w:t>Apple, pear and other young woody plants</w:t>
            </w:r>
          </w:p>
        </w:tc>
      </w:tr>
      <w:tr>
        <w:trPr>
          <w:cantSplit/>
        </w:trPr>
        <w:tc>
          <w:tcPr>
            <w:tcW w:type="dxa" w:w="2541"/>
            <w:vAlign w:val="center"/>
            <w:shd w:fill="FFFFFF"/>
          </w:tcPr>
          <w:p>
            <w:pPr>
              <w:spacing w:after="60"/>
            </w:pPr>
            <w:r>
              <w:rPr>
                <w:b/>
                <w:i w:val="0"/>
                <w:sz w:val="22"/>
              </w:rPr>
              <w:t>Cleft</w:t>
            </w:r>
          </w:p>
        </w:tc>
        <w:tc>
          <w:tcPr>
            <w:tcW w:type="dxa" w:w="2541"/>
            <w:vAlign w:val="center"/>
            <w:shd w:fill="FFFFFF"/>
          </w:tcPr>
          <w:p>
            <w:pPr>
              <w:spacing w:after="60"/>
            </w:pPr>
            <w:r>
              <w:rPr>
                <w:b w:val="0"/>
                <w:i w:val="0"/>
                <w:sz w:val="22"/>
              </w:rPr>
              <w:t>Late winter or early spring</w:t>
            </w:r>
          </w:p>
        </w:tc>
        <w:tc>
          <w:tcPr>
            <w:tcW w:type="dxa" w:w="2541"/>
            <w:vAlign w:val="center"/>
            <w:shd w:fill="FFFFFF"/>
          </w:tcPr>
          <w:p>
            <w:pPr>
              <w:spacing w:after="60"/>
            </w:pPr>
            <w:r>
              <w:rPr>
                <w:b w:val="0"/>
                <w:i w:val="0"/>
                <w:sz w:val="22"/>
              </w:rPr>
              <w:t>Stock is substantially thicker than the scion</w:t>
            </w:r>
          </w:p>
        </w:tc>
        <w:tc>
          <w:tcPr>
            <w:tcW w:type="dxa" w:w="2541"/>
            <w:vAlign w:val="center"/>
            <w:shd w:fill="FFFFFF"/>
          </w:tcPr>
          <w:p>
            <w:pPr>
              <w:spacing w:after="60"/>
            </w:pPr>
            <w:r>
              <w:rPr>
                <w:b w:val="0"/>
                <w:i w:val="0"/>
                <w:sz w:val="22"/>
              </w:rPr>
              <w:t>Top-working fruit or ornamental trees</w:t>
            </w:r>
          </w:p>
        </w:tc>
      </w:tr>
      <w:tr>
        <w:trPr>
          <w:cantSplit/>
        </w:trPr>
        <w:tc>
          <w:tcPr>
            <w:tcW w:type="dxa" w:w="2541"/>
            <w:vAlign w:val="center"/>
            <w:shd w:fill="FFFFFF"/>
          </w:tcPr>
          <w:p>
            <w:pPr>
              <w:spacing w:after="60"/>
            </w:pPr>
            <w:r>
              <w:rPr>
                <w:b/>
                <w:i w:val="0"/>
                <w:sz w:val="22"/>
              </w:rPr>
              <w:t>T-budding</w:t>
            </w:r>
          </w:p>
        </w:tc>
        <w:tc>
          <w:tcPr>
            <w:tcW w:type="dxa" w:w="2541"/>
            <w:vAlign w:val="center"/>
            <w:shd w:fill="FFFFFF"/>
          </w:tcPr>
          <w:p>
            <w:pPr>
              <w:spacing w:after="60"/>
            </w:pPr>
            <w:r>
              <w:rPr>
                <w:b w:val="0"/>
                <w:i w:val="0"/>
                <w:sz w:val="22"/>
              </w:rPr>
              <w:t>Mid- to late summer, or spring where practiced</w:t>
            </w:r>
          </w:p>
        </w:tc>
        <w:tc>
          <w:tcPr>
            <w:tcW w:type="dxa" w:w="2541"/>
            <w:vAlign w:val="center"/>
            <w:shd w:fill="FFFFFF"/>
          </w:tcPr>
          <w:p>
            <w:pPr>
              <w:spacing w:after="60"/>
            </w:pPr>
            <w:r>
              <w:rPr>
                <w:b w:val="0"/>
                <w:i w:val="0"/>
                <w:sz w:val="22"/>
              </w:rPr>
              <w:t>Rootstock bark is actively slipping</w:t>
            </w:r>
          </w:p>
        </w:tc>
        <w:tc>
          <w:tcPr>
            <w:tcW w:type="dxa" w:w="2541"/>
            <w:vAlign w:val="center"/>
            <w:shd w:fill="FFFFFF"/>
          </w:tcPr>
          <w:p>
            <w:pPr>
              <w:spacing w:after="60"/>
            </w:pPr>
            <w:r>
              <w:rPr>
                <w:b w:val="0"/>
                <w:i w:val="0"/>
                <w:sz w:val="22"/>
              </w:rPr>
              <w:t>Roses, stone fruit, citrus and many nursery crops</w:t>
            </w:r>
          </w:p>
        </w:tc>
      </w:tr>
    </w:tbl>
    <w:p>
      <w:pPr>
        <w:spacing w:after="20"/>
      </w:pPr>
    </w:p>
    <w:p>
      <w:pPr>
        <w:pStyle w:val="Heading2"/>
      </w:pPr>
      <w:r>
        <w:t>Basic Grafting Procedure</w:t>
      </w:r>
    </w:p>
    <w:p>
      <w:pPr>
        <w:pStyle w:val="ListBullet"/>
      </w:pPr>
      <w:r>
        <w:rPr>
          <w:b/>
          <w:i w:val="0"/>
        </w:rPr>
        <w:t xml:space="preserve">Prepare materials — </w:t>
      </w:r>
      <w:r>
        <w:t>Have stock, labeled scion, knife, pruners, grafting tape or rubber, sealant if appropriate, and labels ready before cutting.</w:t>
      </w:r>
    </w:p>
    <w:p>
      <w:pPr>
        <w:pStyle w:val="ListBullet"/>
      </w:pPr>
      <w:r>
        <w:rPr>
          <w:b/>
          <w:i w:val="0"/>
        </w:rPr>
        <w:t xml:space="preserve">Make fresh cuts — </w:t>
      </w:r>
      <w:r>
        <w:t>Expose smooth, flat tissue with one deliberate cut. Avoid sawing, crushing, or touching the cut faces.</w:t>
      </w:r>
    </w:p>
    <w:p>
      <w:pPr>
        <w:pStyle w:val="ListBullet"/>
      </w:pPr>
      <w:r>
        <w:rPr>
          <w:b/>
          <w:i w:val="0"/>
        </w:rPr>
        <w:t xml:space="preserve">Align cambium — </w:t>
      </w:r>
      <w:r>
        <w:t>Line up the narrow cambium zone directly under the bark. When diameters differ, align one side—not the centers.</w:t>
      </w:r>
    </w:p>
    <w:p>
      <w:pPr>
        <w:pStyle w:val="ListBullet"/>
      </w:pPr>
      <w:r>
        <w:rPr>
          <w:b/>
          <w:i w:val="0"/>
        </w:rPr>
        <w:t xml:space="preserve">Bind firmly — </w:t>
      </w:r>
      <w:r>
        <w:t>Immobilize the union with grafting tape, budding rubber, or another suitable wrap. Do not allow the pieces to shift.</w:t>
      </w:r>
    </w:p>
    <w:p>
      <w:pPr>
        <w:pStyle w:val="ListBullet"/>
      </w:pPr>
      <w:r>
        <w:rPr>
          <w:b/>
          <w:i w:val="0"/>
        </w:rPr>
        <w:t xml:space="preserve">Prevent drying — </w:t>
      </w:r>
      <w:r>
        <w:t>Cover exposed cut surfaces as the method requires. Keep the scion from drying, overheating, or sitting in water.</w:t>
      </w:r>
    </w:p>
    <w:p>
      <w:pPr>
        <w:pStyle w:val="ListBullet"/>
      </w:pPr>
      <w:r>
        <w:rPr>
          <w:b/>
          <w:i w:val="0"/>
        </w:rPr>
        <w:t xml:space="preserve">Label immediately — </w:t>
      </w:r>
      <w:r>
        <w:t>Record cultivar, rootstock if known, method, and date.</w:t>
      </w:r>
    </w:p>
    <w:p>
      <w:pPr>
        <w:pStyle w:val="ListBullet"/>
      </w:pPr>
      <w:r>
        <w:rPr>
          <w:b/>
          <w:i w:val="0"/>
        </w:rPr>
        <w:t xml:space="preserve">Remove competing growth — </w:t>
      </w:r>
      <w:r>
        <w:t>Rub off shoots arising below the union; they belong to the rootstock.</w:t>
      </w:r>
    </w:p>
    <w:p>
      <w:pPr>
        <w:pStyle w:val="ListBullet"/>
      </w:pPr>
      <w:r>
        <w:rPr>
          <w:b/>
          <w:i w:val="0"/>
        </w:rPr>
        <w:t xml:space="preserve">Inspect and release — </w:t>
      </w:r>
      <w:r>
        <w:t>Once the union is strong, remove or loosen non-degradable ties before they girdle the stem.</w:t>
      </w:r>
    </w:p>
    <w:p>
      <w:pPr>
        <w:pStyle w:val="Heading2"/>
      </w:pPr>
      <w:r>
        <w:t>Method Notes</w:t>
      </w:r>
    </w:p>
    <w:p>
      <w:pPr>
        <w:pStyle w:val="Heading2"/>
      </w:pPr>
      <w:r>
        <w:t>Whip-and-Tongue</w:t>
      </w:r>
    </w:p>
    <w:p>
      <w:pPr>
        <w:pStyle w:val="ListBullet"/>
      </w:pPr>
      <w:r>
        <w:rPr>
          <w:b w:val="0"/>
          <w:i w:val="0"/>
        </w:rPr>
        <w:t>Select dormant scion wood with two or three good buds; keep it cool and slightly moist until use.</w:t>
      </w:r>
    </w:p>
    <w:p>
      <w:pPr>
        <w:pStyle w:val="ListBullet"/>
      </w:pPr>
      <w:r>
        <w:rPr>
          <w:b w:val="0"/>
          <w:i w:val="0"/>
        </w:rPr>
        <w:t>Make matching long sloping cuts, then a shallow tongue in each face. Interlock the tongues without splitting the wood.</w:t>
      </w:r>
    </w:p>
    <w:p>
      <w:pPr>
        <w:pStyle w:val="ListBullet"/>
      </w:pPr>
      <w:r>
        <w:rPr>
          <w:b w:val="0"/>
          <w:i w:val="0"/>
        </w:rPr>
        <w:t>Align cambium along one entire side, bind, and seal exposed edges.</w:t>
      </w:r>
    </w:p>
    <w:p>
      <w:pPr>
        <w:pStyle w:val="Heading2"/>
      </w:pPr>
      <w:r>
        <w:t>Cleft Graft</w:t>
      </w:r>
    </w:p>
    <w:p>
      <w:pPr>
        <w:pStyle w:val="ListBullet"/>
      </w:pPr>
      <w:r>
        <w:rPr>
          <w:b w:val="0"/>
          <w:i w:val="0"/>
        </w:rPr>
        <w:t>Cut the stock squarely and split it through the center with an appropriate tool.</w:t>
      </w:r>
    </w:p>
    <w:p>
      <w:pPr>
        <w:pStyle w:val="ListBullet"/>
      </w:pPr>
      <w:r>
        <w:rPr>
          <w:b w:val="0"/>
          <w:i w:val="0"/>
        </w:rPr>
        <w:t>Shape each scion into a long wedge, thicker toward the outside edge.</w:t>
      </w:r>
    </w:p>
    <w:p>
      <w:pPr>
        <w:pStyle w:val="ListBullet"/>
      </w:pPr>
      <w:r>
        <w:rPr>
          <w:b w:val="0"/>
          <w:i w:val="0"/>
        </w:rPr>
        <w:t>Insert one or two scions so the cambium crosses or follows the stock cambium near the outer edge. Seal all exposed surfaces.</w:t>
      </w:r>
    </w:p>
    <w:p>
      <w:pPr>
        <w:pStyle w:val="Heading2"/>
      </w:pPr>
      <w:r>
        <w:t>T-Budding</w:t>
      </w:r>
    </w:p>
    <w:p>
      <w:pPr>
        <w:pStyle w:val="ListBullet"/>
      </w:pPr>
      <w:r>
        <w:rPr>
          <w:b w:val="0"/>
          <w:i w:val="0"/>
        </w:rPr>
        <w:t>When bark slips, cut a T through the bark without gouging deeply into wood.</w:t>
      </w:r>
    </w:p>
    <w:p>
      <w:pPr>
        <w:pStyle w:val="ListBullet"/>
      </w:pPr>
      <w:r>
        <w:rPr>
          <w:b w:val="0"/>
          <w:i w:val="0"/>
        </w:rPr>
        <w:t>Cut a shield-shaped bud from the desired cultivar and slide it beneath the bark flaps.</w:t>
      </w:r>
    </w:p>
    <w:p>
      <w:pPr>
        <w:pStyle w:val="ListBullet"/>
      </w:pPr>
      <w:r>
        <w:rPr>
          <w:b w:val="0"/>
          <w:i w:val="0"/>
        </w:rPr>
        <w:t>Wrap above and below the bud while leaving the bud itself exposed. After it heals, cut back the stock above the bud to force growth.</w:t>
      </w:r>
    </w:p>
    <w:p>
      <w:pPr>
        <w:pStyle w:val="Heading2"/>
      </w:pPr>
      <w:r>
        <w:t>Aftercare: The First Growing Season</w:t>
      </w:r>
    </w:p>
    <w:p>
      <w:pPr>
        <w:pStyle w:val="ListBullet"/>
      </w:pPr>
      <w:r>
        <w:rPr>
          <w:b w:val="0"/>
          <w:i w:val="0"/>
        </w:rPr>
        <w:t>Protect from strong wind and accidental bumps; stake vigorous new shoots when necessary.</w:t>
      </w:r>
    </w:p>
    <w:p>
      <w:pPr>
        <w:pStyle w:val="ListBullet"/>
      </w:pPr>
      <w:r>
        <w:rPr>
          <w:b w:val="0"/>
          <w:i w:val="0"/>
        </w:rPr>
        <w:t>Keep soil evenly moist but not waterlogged. Avoid heavy nitrogen until the union is established.</w:t>
      </w:r>
    </w:p>
    <w:p>
      <w:pPr>
        <w:pStyle w:val="ListBullet"/>
      </w:pPr>
      <w:r>
        <w:rPr>
          <w:b w:val="0"/>
          <w:i w:val="0"/>
        </w:rPr>
        <w:t>Shade or protect sensitive grafts from severe sun and heat.</w:t>
      </w:r>
    </w:p>
    <w:p>
      <w:pPr>
        <w:pStyle w:val="ListBullet"/>
      </w:pPr>
      <w:r>
        <w:rPr>
          <w:b w:val="0"/>
          <w:i w:val="0"/>
        </w:rPr>
        <w:t>Remove rootstock suckers and shoots below the graft promptly.</w:t>
      </w:r>
    </w:p>
    <w:p>
      <w:pPr>
        <w:pStyle w:val="ListBullet"/>
      </w:pPr>
      <w:r>
        <w:rPr>
          <w:b w:val="0"/>
          <w:i w:val="0"/>
        </w:rPr>
        <w:t>Check ties at least monthly during active growth. Remove anything beginning to constrict the stem.</w:t>
      </w:r>
    </w:p>
    <w:p>
      <w:pPr>
        <w:pStyle w:val="ListBullet"/>
      </w:pPr>
      <w:r>
        <w:rPr>
          <w:b w:val="0"/>
          <w:i w:val="0"/>
        </w:rPr>
        <w:t>Do not bury the graft union of grafted trees unless that plant and rootstock are specifically intended for deep planting.</w:t>
      </w:r>
    </w:p>
    <w:p>
      <w:pPr>
        <w:pStyle w:val="Heading2"/>
      </w:pPr>
      <w:r>
        <w:t>Troubleshooting</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Symptom</w:t>
            </w:r>
          </w:p>
        </w:tc>
        <w:tc>
          <w:tcPr>
            <w:tcW w:type="dxa" w:w="3389"/>
            <w:vAlign w:val="center"/>
            <w:shd w:fill="E9EDF0"/>
          </w:tcPr>
          <w:p>
            <w:pPr>
              <w:spacing w:after="60"/>
            </w:pPr>
            <w:r>
              <w:rPr>
                <w:b/>
                <w:i w:val="0"/>
                <w:sz w:val="22"/>
              </w:rPr>
              <w:t>Likely cause</w:t>
            </w:r>
          </w:p>
        </w:tc>
        <w:tc>
          <w:tcPr>
            <w:tcW w:type="dxa" w:w="3389"/>
            <w:vAlign w:val="center"/>
            <w:shd w:fill="E9EDF0"/>
          </w:tcPr>
          <w:p>
            <w:pPr>
              <w:spacing w:after="60"/>
            </w:pPr>
            <w:r>
              <w:rPr>
                <w:b/>
                <w:i w:val="0"/>
                <w:sz w:val="22"/>
              </w:rPr>
              <w:t>Correction</w:t>
            </w:r>
          </w:p>
        </w:tc>
      </w:tr>
      <w:tr>
        <w:trPr>
          <w:cantSplit/>
        </w:trPr>
        <w:tc>
          <w:tcPr>
            <w:tcW w:type="dxa" w:w="3389"/>
            <w:vAlign w:val="center"/>
            <w:shd w:fill="FFFFFF"/>
          </w:tcPr>
          <w:p>
            <w:pPr>
              <w:spacing w:after="60"/>
            </w:pPr>
            <w:r>
              <w:rPr>
                <w:b/>
                <w:i w:val="0"/>
                <w:sz w:val="22"/>
              </w:rPr>
              <w:t>Scion shrivels before healing</w:t>
            </w:r>
          </w:p>
        </w:tc>
        <w:tc>
          <w:tcPr>
            <w:tcW w:type="dxa" w:w="3389"/>
            <w:vAlign w:val="center"/>
            <w:shd w:fill="FFFFFF"/>
          </w:tcPr>
          <w:p>
            <w:pPr>
              <w:spacing w:after="60"/>
            </w:pPr>
            <w:r>
              <w:rPr>
                <w:b w:val="0"/>
                <w:i w:val="0"/>
                <w:sz w:val="22"/>
              </w:rPr>
              <w:t>Drying, late work, poor wrapping</w:t>
            </w:r>
          </w:p>
        </w:tc>
        <w:tc>
          <w:tcPr>
            <w:tcW w:type="dxa" w:w="3389"/>
            <w:vAlign w:val="center"/>
            <w:shd w:fill="FFFFFF"/>
          </w:tcPr>
          <w:p>
            <w:pPr>
              <w:spacing w:after="60"/>
            </w:pPr>
            <w:r>
              <w:rPr>
                <w:b w:val="0"/>
                <w:i w:val="0"/>
                <w:sz w:val="22"/>
              </w:rPr>
              <w:t>Use fresh stored scion wood; bind and seal immediately.</w:t>
            </w:r>
          </w:p>
        </w:tc>
      </w:tr>
      <w:tr>
        <w:trPr>
          <w:cantSplit/>
        </w:trPr>
        <w:tc>
          <w:tcPr>
            <w:tcW w:type="dxa" w:w="3389"/>
            <w:vAlign w:val="center"/>
            <w:shd w:fill="FFFFFF"/>
          </w:tcPr>
          <w:p>
            <w:pPr>
              <w:spacing w:after="60"/>
            </w:pPr>
            <w:r>
              <w:rPr>
                <w:b/>
                <w:i w:val="0"/>
                <w:sz w:val="22"/>
              </w:rPr>
              <w:t>Union never knits</w:t>
            </w:r>
          </w:p>
        </w:tc>
        <w:tc>
          <w:tcPr>
            <w:tcW w:type="dxa" w:w="3389"/>
            <w:vAlign w:val="center"/>
            <w:shd w:fill="FFFFFF"/>
          </w:tcPr>
          <w:p>
            <w:pPr>
              <w:spacing w:after="60"/>
            </w:pPr>
            <w:r>
              <w:rPr>
                <w:b w:val="0"/>
                <w:i w:val="0"/>
                <w:sz w:val="22"/>
              </w:rPr>
              <w:t>Poor cambium contact, incompatibility, movement</w:t>
            </w:r>
          </w:p>
        </w:tc>
        <w:tc>
          <w:tcPr>
            <w:tcW w:type="dxa" w:w="3389"/>
            <w:vAlign w:val="center"/>
            <w:shd w:fill="FFFFFF"/>
          </w:tcPr>
          <w:p>
            <w:pPr>
              <w:spacing w:after="60"/>
            </w:pPr>
            <w:r>
              <w:rPr>
                <w:b w:val="0"/>
                <w:i w:val="0"/>
                <w:sz w:val="22"/>
              </w:rPr>
              <w:t>Re-cut cleanly; align one cambium edge; stabilize; confirm compatibility.</w:t>
            </w:r>
          </w:p>
        </w:tc>
      </w:tr>
      <w:tr>
        <w:trPr>
          <w:cantSplit/>
        </w:trPr>
        <w:tc>
          <w:tcPr>
            <w:tcW w:type="dxa" w:w="3389"/>
            <w:vAlign w:val="center"/>
            <w:shd w:fill="FFFFFF"/>
          </w:tcPr>
          <w:p>
            <w:pPr>
              <w:spacing w:after="60"/>
            </w:pPr>
            <w:r>
              <w:rPr>
                <w:b/>
                <w:i w:val="0"/>
                <w:sz w:val="22"/>
              </w:rPr>
              <w:t>Bud stays green but does not grow</w:t>
            </w:r>
          </w:p>
        </w:tc>
        <w:tc>
          <w:tcPr>
            <w:tcW w:type="dxa" w:w="3389"/>
            <w:vAlign w:val="center"/>
            <w:shd w:fill="FFFFFF"/>
          </w:tcPr>
          <w:p>
            <w:pPr>
              <w:spacing w:after="60"/>
            </w:pPr>
            <w:r>
              <w:rPr>
                <w:b w:val="0"/>
                <w:i w:val="0"/>
                <w:sz w:val="22"/>
              </w:rPr>
              <w:t>Bud is dormant or stock was not cut back</w:t>
            </w:r>
          </w:p>
        </w:tc>
        <w:tc>
          <w:tcPr>
            <w:tcW w:type="dxa" w:w="3389"/>
            <w:vAlign w:val="center"/>
            <w:shd w:fill="FFFFFF"/>
          </w:tcPr>
          <w:p>
            <w:pPr>
              <w:spacing w:after="60"/>
            </w:pPr>
            <w:r>
              <w:rPr>
                <w:b w:val="0"/>
                <w:i w:val="0"/>
                <w:sz w:val="22"/>
              </w:rPr>
              <w:t>Wait for the proper season; cut stock above a healed bud as recommended.</w:t>
            </w:r>
          </w:p>
        </w:tc>
      </w:tr>
      <w:tr>
        <w:trPr>
          <w:cantSplit/>
        </w:trPr>
        <w:tc>
          <w:tcPr>
            <w:tcW w:type="dxa" w:w="3389"/>
            <w:vAlign w:val="center"/>
            <w:shd w:fill="FFFFFF"/>
          </w:tcPr>
          <w:p>
            <w:pPr>
              <w:spacing w:after="60"/>
            </w:pPr>
            <w:r>
              <w:rPr>
                <w:b/>
                <w:i w:val="0"/>
                <w:sz w:val="22"/>
              </w:rPr>
              <w:t>Union swells or breaks later</w:t>
            </w:r>
          </w:p>
        </w:tc>
        <w:tc>
          <w:tcPr>
            <w:tcW w:type="dxa" w:w="3389"/>
            <w:vAlign w:val="center"/>
            <w:shd w:fill="FFFFFF"/>
          </w:tcPr>
          <w:p>
            <w:pPr>
              <w:spacing w:after="60"/>
            </w:pPr>
            <w:r>
              <w:rPr>
                <w:b w:val="0"/>
                <w:i w:val="0"/>
                <w:sz w:val="22"/>
              </w:rPr>
              <w:t>Delayed incompatibility, girdling tie, weak union</w:t>
            </w:r>
          </w:p>
        </w:tc>
        <w:tc>
          <w:tcPr>
            <w:tcW w:type="dxa" w:w="3389"/>
            <w:vAlign w:val="center"/>
            <w:shd w:fill="FFFFFF"/>
          </w:tcPr>
          <w:p>
            <w:pPr>
              <w:spacing w:after="60"/>
            </w:pPr>
            <w:r>
              <w:rPr>
                <w:b w:val="0"/>
                <w:i w:val="0"/>
                <w:sz w:val="22"/>
              </w:rPr>
              <w:t>Remove ties on time; brace early growth; replace chronically incompatible combinations.</w:t>
            </w:r>
          </w:p>
        </w:tc>
      </w:tr>
      <w:tr>
        <w:trPr>
          <w:cantSplit/>
        </w:trPr>
        <w:tc>
          <w:tcPr>
            <w:tcW w:type="dxa" w:w="3389"/>
            <w:vAlign w:val="center"/>
            <w:shd w:fill="FFFFFF"/>
          </w:tcPr>
          <w:p>
            <w:pPr>
              <w:spacing w:after="60"/>
            </w:pPr>
            <w:r>
              <w:rPr>
                <w:b/>
                <w:i w:val="0"/>
                <w:sz w:val="22"/>
              </w:rPr>
              <w:t>Shoots arise below union</w:t>
            </w:r>
          </w:p>
        </w:tc>
        <w:tc>
          <w:tcPr>
            <w:tcW w:type="dxa" w:w="3389"/>
            <w:vAlign w:val="center"/>
            <w:shd w:fill="FFFFFF"/>
          </w:tcPr>
          <w:p>
            <w:pPr>
              <w:spacing w:after="60"/>
            </w:pPr>
            <w:r>
              <w:rPr>
                <w:b w:val="0"/>
                <w:i w:val="0"/>
                <w:sz w:val="22"/>
              </w:rPr>
              <w:t>Rootstock is outgrowing scion</w:t>
            </w:r>
          </w:p>
        </w:tc>
        <w:tc>
          <w:tcPr>
            <w:tcW w:type="dxa" w:w="3389"/>
            <w:vAlign w:val="center"/>
            <w:shd w:fill="FFFFFF"/>
          </w:tcPr>
          <w:p>
            <w:pPr>
              <w:spacing w:after="60"/>
            </w:pPr>
            <w:r>
              <w:rPr>
                <w:b w:val="0"/>
                <w:i w:val="0"/>
                <w:sz w:val="22"/>
              </w:rPr>
              <w:t>Remove them flush and repeat as needed.</w:t>
            </w:r>
          </w:p>
        </w:tc>
      </w:tr>
    </w:tbl>
    <w:p>
      <w:pPr>
        <w:spacing w:after="20"/>
      </w:pP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SAFETY  </w:t>
            </w:r>
            <w:r>
              <w:rPr>
                <w:b/>
                <w:sz w:val="22"/>
              </w:rPr>
              <w:t>Grafting knives are exceptionally sharp. Cut away from your hands and body; stabilize the work; wear eye protection for cleft-grafting tools; and keep blades inaccessible to children.</w:t>
            </w:r>
          </w:p>
        </w:tc>
      </w:tr>
    </w:tbl>
    <w:p>
      <w:pPr>
        <w:spacing w:after="20"/>
      </w:pPr>
    </w:p>
    <w:p>
      <w:pPr>
        <w:pStyle w:val="Heading2"/>
      </w:pPr>
      <w:r>
        <w:t>Quick Record</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Scion / cultivar</w:t>
            </w:r>
          </w:p>
        </w:tc>
        <w:tc>
          <w:tcPr>
            <w:tcW w:type="dxa" w:w="5083"/>
            <w:vAlign w:val="center"/>
            <w:shd w:fill="E9EDF0"/>
          </w:tcPr>
          <w:p>
            <w:pPr>
              <w:spacing w:after="60"/>
            </w:pPr>
            <w:r>
              <w:rPr>
                <w:b/>
                <w:i w:val="0"/>
                <w:sz w:val="22"/>
              </w:rPr>
              <w:t>________________________________________________</w:t>
            </w:r>
          </w:p>
        </w:tc>
      </w:tr>
      <w:tr>
        <w:trPr>
          <w:cantSplit/>
        </w:trPr>
        <w:tc>
          <w:tcPr>
            <w:tcW w:type="dxa" w:w="5083"/>
            <w:vAlign w:val="center"/>
            <w:shd w:fill="FFFFFF"/>
          </w:tcPr>
          <w:p>
            <w:pPr>
              <w:spacing w:after="60"/>
            </w:pPr>
            <w:r>
              <w:rPr>
                <w:b/>
                <w:i w:val="0"/>
                <w:sz w:val="22"/>
              </w:rPr>
              <w:t>Rootstock</w:t>
            </w:r>
          </w:p>
        </w:tc>
        <w:tc>
          <w:tcPr>
            <w:tcW w:type="dxa" w:w="5083"/>
            <w:vAlign w:val="center"/>
            <w:shd w:fill="FFFFFF"/>
          </w:tcPr>
          <w:p>
            <w:pPr>
              <w:spacing w:after="60"/>
            </w:pPr>
            <w:r>
              <w:rPr>
                <w:b w:val="0"/>
                <w:i w:val="0"/>
                <w:sz w:val="22"/>
              </w:rPr>
              <w:t>________________________________________________</w:t>
            </w:r>
          </w:p>
        </w:tc>
      </w:tr>
      <w:tr>
        <w:trPr>
          <w:cantSplit/>
        </w:trPr>
        <w:tc>
          <w:tcPr>
            <w:tcW w:type="dxa" w:w="5083"/>
            <w:vAlign w:val="center"/>
            <w:shd w:fill="FFFFFF"/>
          </w:tcPr>
          <w:p>
            <w:pPr>
              <w:spacing w:after="60"/>
            </w:pPr>
            <w:r>
              <w:rPr>
                <w:b/>
                <w:i w:val="0"/>
                <w:sz w:val="22"/>
              </w:rPr>
              <w:t>Method and date</w:t>
            </w:r>
          </w:p>
        </w:tc>
        <w:tc>
          <w:tcPr>
            <w:tcW w:type="dxa" w:w="5083"/>
            <w:vAlign w:val="center"/>
            <w:shd w:fill="FFFFFF"/>
          </w:tcPr>
          <w:p>
            <w:pPr>
              <w:spacing w:after="60"/>
            </w:pPr>
            <w:r>
              <w:rPr>
                <w:b w:val="0"/>
                <w:i w:val="0"/>
                <w:sz w:val="22"/>
              </w:rPr>
              <w:t>________________________________________________</w:t>
            </w:r>
          </w:p>
        </w:tc>
      </w:tr>
      <w:tr>
        <w:trPr>
          <w:cantSplit/>
        </w:trPr>
        <w:tc>
          <w:tcPr>
            <w:tcW w:type="dxa" w:w="5083"/>
            <w:vAlign w:val="center"/>
            <w:shd w:fill="FFFFFF"/>
          </w:tcPr>
          <w:p>
            <w:pPr>
              <w:spacing w:after="60"/>
            </w:pPr>
            <w:r>
              <w:rPr>
                <w:b/>
                <w:i w:val="0"/>
                <w:sz w:val="22"/>
              </w:rPr>
              <w:t>First inspection</w:t>
            </w:r>
          </w:p>
        </w:tc>
        <w:tc>
          <w:tcPr>
            <w:tcW w:type="dxa" w:w="5083"/>
            <w:vAlign w:val="center"/>
            <w:shd w:fill="FFFFFF"/>
          </w:tcPr>
          <w:p>
            <w:pPr>
              <w:spacing w:after="60"/>
            </w:pPr>
            <w:r>
              <w:rPr>
                <w:b w:val="0"/>
                <w:i w:val="0"/>
                <w:sz w:val="22"/>
              </w:rPr>
              <w:t>________________________________________________</w:t>
            </w:r>
          </w:p>
        </w:tc>
      </w:tr>
    </w:tbl>
    <w:p>
      <w:pPr>
        <w:spacing w:after="20"/>
      </w:pPr>
    </w:p>
    <w:p>
      <w:pPr>
        <w:pStyle w:val="Heading2"/>
      </w:pPr>
      <w:r>
        <w:t>Reliable References</w:t>
      </w:r>
    </w:p>
    <w:p>
      <w:pPr>
        <w:pStyle w:val="ListBullet"/>
      </w:pPr>
      <w:hyperlink r:id="rId13">
        <w:r>
          <w:rPr>
            <w:color w:val="245B43"/>
            <w:u w:val="single"/>
          </w:rPr>
          <w:t>Purdue Extension — publications and county horticulture help</w:t>
        </w:r>
      </w:hyperlink>
    </w:p>
    <w:p>
      <w:pPr>
        <w:pStyle w:val="ListBullet"/>
      </w:pPr>
      <w:hyperlink r:id="rId14">
        <w:r>
          <w:rPr>
            <w:color w:val="245B43"/>
            <w:u w:val="single"/>
          </w:rPr>
          <w:t>University of Missouri Extension — Grafting</w:t>
        </w:r>
      </w:hyperlink>
    </w:p>
    <w:p>
      <w:pPr>
        <w:pStyle w:val="ListBullet"/>
      </w:pPr>
      <w:hyperlink r:id="rId15">
        <w:r>
          <w:rPr>
            <w:color w:val="245B43"/>
            <w:u w:val="single"/>
          </w:rPr>
          <w:t>Penn State Extension — Grafting and Propagating Fruit Trees</w:t>
        </w:r>
      </w:hyperlink>
    </w:p>
    <w:p>
      <w:r>
        <w:rPr>
          <w:b w:val="0"/>
          <w:i/>
        </w:rPr>
        <w:t>Educational reference only. Local climate, plant species, and nursery practice may require adjustments.</w:t>
      </w:r>
    </w:p>
    <w:p>
      <w:pPr>
        <w:pStyle w:val="Heading2"/>
      </w:pPr>
      <w:r>
        <w:t>Sources and revision note</w:t>
      </w:r>
    </w:p>
    <w:p>
      <w:hyperlink r:id="rId14">
        <w:r>
          <w:rPr>
            <w:color w:val="245B43"/>
            <w:u w:val="single"/>
          </w:rPr>
          <w:t>University of Missouri Extension: Grafting, G6971</w:t>
        </w:r>
      </w:hyperlink>
    </w:p>
    <w:p>
      <w:r>
        <w:rPr>
          <w:b w:val="0"/>
          <w:i w:val="0"/>
        </w:rPr>
        <w:t xml:space="preserve">Added September 22, 2026 · </w:t>
      </w:r>
      <w:hyperlink r:id="rId1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grafting/" TargetMode="External"/><Relationship Id="rId12" Type="http://schemas.openxmlformats.org/officeDocument/2006/relationships/hyperlink" Target="https://planteducationproject.com" TargetMode="External"/><Relationship Id="rId13" Type="http://schemas.openxmlformats.org/officeDocument/2006/relationships/hyperlink" Target="https://extension.purdue.edu/" TargetMode="External"/><Relationship Id="rId14" Type="http://schemas.openxmlformats.org/officeDocument/2006/relationships/hyperlink" Target="https://extension.missouri.edu/publications/g6971" TargetMode="External"/><Relationship Id="rId15" Type="http://schemas.openxmlformats.org/officeDocument/2006/relationships/hyperlink" Target="https://extension.psu.edu/grafting-and-propagating-fruit-trees" TargetMode="External"/><Relationship Id="rId16" Type="http://schemas.openxmlformats.org/officeDocument/2006/relationships/hyperlink" Target="https://planteducationproject.com/information-sheets/master-index/" TargetMode="External"/><Relationship Id="rId1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grafting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