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Different Kinds of Nuts</w:t>
      </w:r>
    </w:p>
    <w:p>
      <w:pPr>
        <w:spacing w:after="320"/>
      </w:pPr>
      <w:r>
        <w:t>Combined Information Sheets</w:t>
      </w:r>
    </w:p>
    <w:p>
      <w:pPr>
        <w:pStyle w:val="Heading1"/>
      </w:pPr>
      <w:r>
        <w:t>Different Kinds of Nuts</w:t>
      </w:r>
    </w:p>
    <w:p>
      <w:r>
        <w:rPr>
          <w:b/>
        </w:rPr>
        <w:t xml:space="preserve">Online Information Sheet: </w:t>
      </w:r>
      <w:hyperlink r:id="rId11">
        <w:r>
          <w:rPr>
            <w:color w:val="245B43"/>
            <w:u w:val="single"/>
          </w:rPr>
          <w:t>planteducationproject.com/learn/different-kinds-of-nuts/</w:t>
        </w:r>
      </w:hyperlink>
    </w:p>
    <w:p>
      <w:r>
        <w:rPr>
          <w:b w:val="0"/>
          <w:i w:val="0"/>
        </w:rPr>
        <w:t>🌿 Information Sheet</w:t>
      </w:r>
    </w:p>
    <w:p>
      <w:r>
        <w:rPr>
          <w:b w:val="0"/>
          <w:i w:val="0"/>
        </w:rPr>
        <w:t>In the kitchen, nut usually means an edible seed or kernel with a firm texture and substantial fat or starch. Botanical nuts are a narrower category. This sheet compares common foods, explains that distinction, and highlights storage and allergy issues.</w:t>
      </w:r>
    </w:p>
    <w:p>
      <w:pPr>
        <w:pStyle w:val="Heading2"/>
      </w:pPr>
      <w:r>
        <w:t>Culinary names do not define botanical relationships</w:t>
      </w:r>
    </w:p>
    <w:tbl>
      <w:tblPr>
        <w:tblW w:type="auto" w:w="0"/>
        <w:jc w:val="center"/>
        <w:tblLayout w:type="autofit"/>
        <w:tblLook w:firstColumn="1" w:firstRow="1" w:lastColumn="0" w:lastRow="0" w:noHBand="0" w:noVBand="1" w:val="04A0"/>
      </w:tblPr>
      <w:tblGrid>
        <w:gridCol w:w="3389"/>
        <w:gridCol w:w="3389"/>
        <w:gridCol w:w="3389"/>
      </w:tblGrid>
      <w:tr>
        <w:trPr>
          <w:cantSplit/>
          <w:tblHeader w:val="true"/>
        </w:trPr>
        <w:tc>
          <w:tcPr>
            <w:tcW w:type="dxa" w:w="3389"/>
            <w:vAlign w:val="center"/>
            <w:shd w:fill="E9EDF0"/>
          </w:tcPr>
          <w:p>
            <w:pPr>
              <w:spacing w:after="60"/>
            </w:pPr>
            <w:r>
              <w:rPr>
                <w:b/>
                <w:i w:val="0"/>
                <w:sz w:val="22"/>
              </w:rPr>
              <w:t>Food</w:t>
            </w:r>
          </w:p>
        </w:tc>
        <w:tc>
          <w:tcPr>
            <w:tcW w:type="dxa" w:w="3389"/>
            <w:vAlign w:val="center"/>
            <w:shd w:fill="E9EDF0"/>
          </w:tcPr>
          <w:p>
            <w:pPr>
              <w:spacing w:after="60"/>
            </w:pPr>
            <w:r>
              <w:rPr>
                <w:b/>
                <w:i w:val="0"/>
                <w:sz w:val="22"/>
              </w:rPr>
              <w:t>Botanical context</w:t>
            </w:r>
          </w:p>
        </w:tc>
        <w:tc>
          <w:tcPr>
            <w:tcW w:type="dxa" w:w="3389"/>
            <w:vAlign w:val="center"/>
            <w:shd w:fill="E9EDF0"/>
          </w:tcPr>
          <w:p>
            <w:pPr>
              <w:spacing w:after="60"/>
            </w:pPr>
            <w:r>
              <w:rPr>
                <w:b/>
                <w:i w:val="0"/>
                <w:sz w:val="22"/>
              </w:rPr>
              <w:t>Useful distinction</w:t>
            </w:r>
          </w:p>
        </w:tc>
      </w:tr>
      <w:tr>
        <w:trPr>
          <w:cantSplit/>
        </w:trPr>
        <w:tc>
          <w:tcPr>
            <w:tcW w:type="dxa" w:w="3389"/>
            <w:vAlign w:val="center"/>
            <w:shd w:fill="FFFFFF"/>
          </w:tcPr>
          <w:p>
            <w:pPr>
              <w:spacing w:after="60"/>
            </w:pPr>
            <w:r>
              <w:rPr>
                <w:b/>
                <w:i w:val="0"/>
                <w:sz w:val="22"/>
              </w:rPr>
              <w:t>Hazelnut and chestnut</w:t>
            </w:r>
          </w:p>
        </w:tc>
        <w:tc>
          <w:tcPr>
            <w:tcW w:type="dxa" w:w="3389"/>
            <w:vAlign w:val="center"/>
            <w:shd w:fill="FFFFFF"/>
          </w:tcPr>
          <w:p>
            <w:pPr>
              <w:spacing w:after="60"/>
            </w:pPr>
            <w:r>
              <w:rPr>
                <w:b w:val="0"/>
                <w:i w:val="0"/>
                <w:sz w:val="22"/>
              </w:rPr>
              <w:t>Examples of true botanical nuts.</w:t>
            </w:r>
          </w:p>
        </w:tc>
        <w:tc>
          <w:tcPr>
            <w:tcW w:type="dxa" w:w="3389"/>
            <w:vAlign w:val="center"/>
            <w:shd w:fill="FFFFFF"/>
          </w:tcPr>
          <w:p>
            <w:pPr>
              <w:spacing w:after="60"/>
            </w:pPr>
            <w:r>
              <w:rPr>
                <w:b w:val="0"/>
                <w:i w:val="0"/>
                <w:sz w:val="22"/>
              </w:rPr>
              <w:t>Chestnuts are much starchier and lower in fat than most culinary nuts.</w:t>
            </w:r>
          </w:p>
        </w:tc>
      </w:tr>
      <w:tr>
        <w:trPr>
          <w:cantSplit/>
        </w:trPr>
        <w:tc>
          <w:tcPr>
            <w:tcW w:type="dxa" w:w="3389"/>
            <w:vAlign w:val="center"/>
            <w:shd w:fill="FFFFFF"/>
          </w:tcPr>
          <w:p>
            <w:pPr>
              <w:spacing w:after="60"/>
            </w:pPr>
            <w:r>
              <w:rPr>
                <w:b/>
                <w:i w:val="0"/>
                <w:sz w:val="22"/>
              </w:rPr>
              <w:t>Almond</w:t>
            </w:r>
          </w:p>
        </w:tc>
        <w:tc>
          <w:tcPr>
            <w:tcW w:type="dxa" w:w="3389"/>
            <w:vAlign w:val="center"/>
            <w:shd w:fill="FFFFFF"/>
          </w:tcPr>
          <w:p>
            <w:pPr>
              <w:spacing w:after="60"/>
            </w:pPr>
            <w:r>
              <w:rPr>
                <w:b w:val="0"/>
                <w:i w:val="0"/>
                <w:sz w:val="22"/>
              </w:rPr>
              <w:t>The edible seed inside a drupe.</w:t>
            </w:r>
          </w:p>
        </w:tc>
        <w:tc>
          <w:tcPr>
            <w:tcW w:type="dxa" w:w="3389"/>
            <w:vAlign w:val="center"/>
            <w:shd w:fill="FFFFFF"/>
          </w:tcPr>
          <w:p>
            <w:pPr>
              <w:spacing w:after="60"/>
            </w:pPr>
            <w:r>
              <w:rPr>
                <w:b w:val="0"/>
                <w:i w:val="0"/>
                <w:sz w:val="22"/>
              </w:rPr>
              <w:t>Sweet commercial almonds are food; bitter almonds require different safety treatment.</w:t>
            </w:r>
          </w:p>
        </w:tc>
      </w:tr>
      <w:tr>
        <w:trPr>
          <w:cantSplit/>
        </w:trPr>
        <w:tc>
          <w:tcPr>
            <w:tcW w:type="dxa" w:w="3389"/>
            <w:vAlign w:val="center"/>
            <w:shd w:fill="FFFFFF"/>
          </w:tcPr>
          <w:p>
            <w:pPr>
              <w:spacing w:after="60"/>
            </w:pPr>
            <w:r>
              <w:rPr>
                <w:b/>
                <w:i w:val="0"/>
                <w:sz w:val="22"/>
              </w:rPr>
              <w:t>Walnut and pecan</w:t>
            </w:r>
          </w:p>
        </w:tc>
        <w:tc>
          <w:tcPr>
            <w:tcW w:type="dxa" w:w="3389"/>
            <w:vAlign w:val="center"/>
            <w:shd w:fill="FFFFFF"/>
          </w:tcPr>
          <w:p>
            <w:pPr>
              <w:spacing w:after="60"/>
            </w:pPr>
            <w:r>
              <w:rPr>
                <w:b w:val="0"/>
                <w:i w:val="0"/>
                <w:sz w:val="22"/>
              </w:rPr>
              <w:t>Edible kernels inside specialized husked fruits.</w:t>
            </w:r>
          </w:p>
        </w:tc>
        <w:tc>
          <w:tcPr>
            <w:tcW w:type="dxa" w:w="3389"/>
            <w:vAlign w:val="center"/>
            <w:shd w:fill="FFFFFF"/>
          </w:tcPr>
          <w:p>
            <w:pPr>
              <w:spacing w:after="60"/>
            </w:pPr>
            <w:r>
              <w:rPr>
                <w:b w:val="0"/>
                <w:i w:val="0"/>
                <w:sz w:val="22"/>
              </w:rPr>
              <w:t>Terminology for the fruit can vary; both are tree nuts for ordinary food discussion.</w:t>
            </w:r>
          </w:p>
        </w:tc>
      </w:tr>
      <w:tr>
        <w:trPr>
          <w:cantSplit/>
        </w:trPr>
        <w:tc>
          <w:tcPr>
            <w:tcW w:type="dxa" w:w="3389"/>
            <w:vAlign w:val="center"/>
            <w:shd w:fill="FFFFFF"/>
          </w:tcPr>
          <w:p>
            <w:pPr>
              <w:spacing w:after="60"/>
            </w:pPr>
            <w:r>
              <w:rPr>
                <w:b/>
                <w:i w:val="0"/>
                <w:sz w:val="22"/>
              </w:rPr>
              <w:t>Pistachio and cashew</w:t>
            </w:r>
          </w:p>
        </w:tc>
        <w:tc>
          <w:tcPr>
            <w:tcW w:type="dxa" w:w="3389"/>
            <w:vAlign w:val="center"/>
            <w:shd w:fill="FFFFFF"/>
          </w:tcPr>
          <w:p>
            <w:pPr>
              <w:spacing w:after="60"/>
            </w:pPr>
            <w:r>
              <w:rPr>
                <w:b w:val="0"/>
                <w:i w:val="0"/>
                <w:sz w:val="22"/>
              </w:rPr>
              <w:t>Edible seeds associated with drupe-type fruits.</w:t>
            </w:r>
          </w:p>
        </w:tc>
        <w:tc>
          <w:tcPr>
            <w:tcW w:type="dxa" w:w="3389"/>
            <w:vAlign w:val="center"/>
            <w:shd w:fill="FFFFFF"/>
          </w:tcPr>
          <w:p>
            <w:pPr>
              <w:spacing w:after="60"/>
            </w:pPr>
            <w:r>
              <w:rPr>
                <w:b w:val="0"/>
                <w:i w:val="0"/>
                <w:sz w:val="22"/>
              </w:rPr>
              <w:t>Commercial cashews are processed; the raw shell contains irritating substances.</w:t>
            </w:r>
          </w:p>
        </w:tc>
      </w:tr>
      <w:tr>
        <w:trPr>
          <w:cantSplit/>
        </w:trPr>
        <w:tc>
          <w:tcPr>
            <w:tcW w:type="dxa" w:w="3389"/>
            <w:vAlign w:val="center"/>
            <w:shd w:fill="FFFFFF"/>
          </w:tcPr>
          <w:p>
            <w:pPr>
              <w:spacing w:after="60"/>
            </w:pPr>
            <w:r>
              <w:rPr>
                <w:b/>
                <w:i w:val="0"/>
                <w:sz w:val="22"/>
              </w:rPr>
              <w:t>Brazil nut</w:t>
            </w:r>
          </w:p>
        </w:tc>
        <w:tc>
          <w:tcPr>
            <w:tcW w:type="dxa" w:w="3389"/>
            <w:vAlign w:val="center"/>
            <w:shd w:fill="FFFFFF"/>
          </w:tcPr>
          <w:p>
            <w:pPr>
              <w:spacing w:after="60"/>
            </w:pPr>
            <w:r>
              <w:rPr>
                <w:b w:val="0"/>
                <w:i w:val="0"/>
                <w:sz w:val="22"/>
              </w:rPr>
              <w:t>A seed from a large woody capsule.</w:t>
            </w:r>
          </w:p>
        </w:tc>
        <w:tc>
          <w:tcPr>
            <w:tcW w:type="dxa" w:w="3389"/>
            <w:vAlign w:val="center"/>
            <w:shd w:fill="FFFFFF"/>
          </w:tcPr>
          <w:p>
            <w:pPr>
              <w:spacing w:after="60"/>
            </w:pPr>
            <w:r>
              <w:rPr>
                <w:b w:val="0"/>
                <w:i w:val="0"/>
                <w:sz w:val="22"/>
              </w:rPr>
              <w:t>Selenium content can be high and varies greatly.</w:t>
            </w:r>
          </w:p>
        </w:tc>
      </w:tr>
      <w:tr>
        <w:trPr>
          <w:cantSplit/>
        </w:trPr>
        <w:tc>
          <w:tcPr>
            <w:tcW w:type="dxa" w:w="3389"/>
            <w:vAlign w:val="center"/>
            <w:shd w:fill="FFFFFF"/>
          </w:tcPr>
          <w:p>
            <w:pPr>
              <w:spacing w:after="60"/>
            </w:pPr>
            <w:r>
              <w:rPr>
                <w:b/>
                <w:i w:val="0"/>
                <w:sz w:val="22"/>
              </w:rPr>
              <w:t>Pine nut</w:t>
            </w:r>
          </w:p>
        </w:tc>
        <w:tc>
          <w:tcPr>
            <w:tcW w:type="dxa" w:w="3389"/>
            <w:vAlign w:val="center"/>
            <w:shd w:fill="FFFFFF"/>
          </w:tcPr>
          <w:p>
            <w:pPr>
              <w:spacing w:after="60"/>
            </w:pPr>
            <w:r>
              <w:rPr>
                <w:b w:val="0"/>
                <w:i w:val="0"/>
                <w:sz w:val="22"/>
              </w:rPr>
              <w:t>A seed produced by a pine cone.</w:t>
            </w:r>
          </w:p>
        </w:tc>
        <w:tc>
          <w:tcPr>
            <w:tcW w:type="dxa" w:w="3389"/>
            <w:vAlign w:val="center"/>
            <w:shd w:fill="FFFFFF"/>
          </w:tcPr>
          <w:p>
            <w:pPr>
              <w:spacing w:after="60"/>
            </w:pPr>
            <w:r>
              <w:rPr>
                <w:b w:val="0"/>
                <w:i w:val="0"/>
                <w:sz w:val="22"/>
              </w:rPr>
              <w:t>It comes from a gymnosperm, not a flowering-plant nut fruit.</w:t>
            </w:r>
          </w:p>
        </w:tc>
      </w:tr>
      <w:tr>
        <w:trPr>
          <w:cantSplit/>
        </w:trPr>
        <w:tc>
          <w:tcPr>
            <w:tcW w:type="dxa" w:w="3389"/>
            <w:vAlign w:val="center"/>
            <w:shd w:fill="FFFFFF"/>
          </w:tcPr>
          <w:p>
            <w:pPr>
              <w:spacing w:after="60"/>
            </w:pPr>
            <w:r>
              <w:rPr>
                <w:b/>
                <w:i w:val="0"/>
                <w:sz w:val="22"/>
              </w:rPr>
              <w:t>Peanut</w:t>
            </w:r>
          </w:p>
        </w:tc>
        <w:tc>
          <w:tcPr>
            <w:tcW w:type="dxa" w:w="3389"/>
            <w:vAlign w:val="center"/>
            <w:shd w:fill="FFFFFF"/>
          </w:tcPr>
          <w:p>
            <w:pPr>
              <w:spacing w:after="60"/>
            </w:pPr>
            <w:r>
              <w:rPr>
                <w:b w:val="0"/>
                <w:i w:val="0"/>
                <w:sz w:val="22"/>
              </w:rPr>
              <w:t>A legume seed.</w:t>
            </w:r>
          </w:p>
        </w:tc>
        <w:tc>
          <w:tcPr>
            <w:tcW w:type="dxa" w:w="3389"/>
            <w:vAlign w:val="center"/>
            <w:shd w:fill="FFFFFF"/>
          </w:tcPr>
          <w:p>
            <w:pPr>
              <w:spacing w:after="60"/>
            </w:pPr>
            <w:r>
              <w:rPr>
                <w:b w:val="0"/>
                <w:i w:val="0"/>
                <w:sz w:val="22"/>
              </w:rPr>
              <w:t>Botanically related to beans; peanut allergy is distinct from tree-nut allergy.</w:t>
            </w:r>
          </w:p>
        </w:tc>
      </w:tr>
      <w:tr>
        <w:trPr>
          <w:cantSplit/>
        </w:trPr>
        <w:tc>
          <w:tcPr>
            <w:tcW w:type="dxa" w:w="3389"/>
            <w:vAlign w:val="center"/>
            <w:shd w:fill="FFFFFF"/>
          </w:tcPr>
          <w:p>
            <w:pPr>
              <w:spacing w:after="60"/>
            </w:pPr>
            <w:r>
              <w:rPr>
                <w:b/>
                <w:i w:val="0"/>
                <w:sz w:val="22"/>
              </w:rPr>
              <w:t>Coconut</w:t>
            </w:r>
          </w:p>
        </w:tc>
        <w:tc>
          <w:tcPr>
            <w:tcW w:type="dxa" w:w="3389"/>
            <w:vAlign w:val="center"/>
            <w:shd w:fill="FFFFFF"/>
          </w:tcPr>
          <w:p>
            <w:pPr>
              <w:spacing w:after="60"/>
            </w:pPr>
            <w:r>
              <w:rPr>
                <w:b w:val="0"/>
                <w:i w:val="0"/>
                <w:sz w:val="22"/>
              </w:rPr>
              <w:t>A fibrous drupe.</w:t>
            </w:r>
          </w:p>
        </w:tc>
        <w:tc>
          <w:tcPr>
            <w:tcW w:type="dxa" w:w="3389"/>
            <w:vAlign w:val="center"/>
            <w:shd w:fill="FFFFFF"/>
          </w:tcPr>
          <w:p>
            <w:pPr>
              <w:spacing w:after="60"/>
            </w:pPr>
            <w:r>
              <w:rPr>
                <w:b w:val="0"/>
                <w:i w:val="0"/>
                <w:sz w:val="22"/>
              </w:rPr>
              <w:t>Its culinary and botanical grouping does not determine an individual allergy.</w:t>
            </w:r>
          </w:p>
        </w:tc>
      </w:tr>
    </w:tbl>
    <w:p>
      <w:pPr>
        <w:spacing w:after="20"/>
      </w:pPr>
    </w:p>
    <w:p>
      <w:pPr>
        <w:pStyle w:val="Heading2"/>
      </w:pPr>
      <w:r>
        <w:t>Compare foods by the amount actually eaten</w:t>
      </w:r>
    </w:p>
    <w:p>
      <w:r>
        <w:rPr>
          <w:b w:val="0"/>
          <w:i w:val="0"/>
        </w:rPr>
        <w:t>Most common culinary nuts supply unsaturated fats, some protein, fiber, and minerals. Their energy density makes portion size important. Chestnuts differ substantially because starch is their principal stored energy source. Added salt, sugar, chocolate, or oil changes the nutritional comparison.</w:t>
      </w:r>
    </w:p>
    <w:p>
      <w:r>
        <w:rPr>
          <w:b w:val="0"/>
          <w:i w:val="0"/>
        </w:rPr>
        <w:t>Use the product’s nutrition panel or a matched USDA FoodData Central entry for a numerical comparison. Compare the same edible weight and preparation: raw, dry-roasted, oil-roasted, salted, or sweetened. A handful is not a reproducible unit.</w:t>
      </w:r>
    </w:p>
    <w:p>
      <w:r>
        <w:rPr>
          <w:b w:val="0"/>
          <w:i w:val="0"/>
        </w:rPr>
        <w:t>Brazil nuts should not be treated as a precisely dosed selenium supplement. Content varies, and repeatedly eating large quantities can supply excessive selenium.</w:t>
      </w:r>
    </w:p>
    <w:p>
      <w:pPr>
        <w:pStyle w:val="Heading2"/>
      </w:pPr>
      <w:r>
        <w:t>Allergy depends on the person and the specific food</w:t>
      </w:r>
    </w:p>
    <w:p>
      <w:r>
        <w:rPr>
          <w:b w:val="0"/>
          <w:i w:val="0"/>
        </w:rPr>
        <w:t>Peanuts and tree nuts can cause severe allergic reactions. Allergy to one does not establish either allergy or safety for every other nut. Read current ingredient and allergen information, including cross-contact statements, and follow the person’s clinical allergy plan.</w:t>
      </w:r>
    </w:p>
    <w:p>
      <w:r>
        <w:rPr>
          <w:b w:val="0"/>
          <w:i w:val="0"/>
        </w:rPr>
        <w:t>Botanical categories are not a shortcut for deciding whether a food is safe. For an established severe allergy, carry and use prescribed emergency treatment as instructed. Breathing difficulty, throat swelling, or collapse after eating requires emergency care.</w:t>
      </w:r>
    </w:p>
    <w:p>
      <w:pPr>
        <w:pStyle w:val="Heading2"/>
      </w:pPr>
      <w:r>
        <w:t>Freshness depends on protecting the oils</w:t>
      </w:r>
    </w:p>
    <w:p>
      <w:r>
        <w:rPr>
          <w:b w:val="0"/>
          <w:i w:val="0"/>
        </w:rPr>
        <w:t>Store shelled nuts in a sealed container away from heat, moisture, and light. Refrigeration or freezing can extend quality, especially for larger supplies. Label the purchase or opening date and allow a sealed cold container to warm before opening if condensation is a concern.</w:t>
      </w:r>
    </w:p>
    <w:p>
      <w:r>
        <w:rPr>
          <w:b w:val="0"/>
          <w:i w:val="0"/>
        </w:rPr>
        <w:t>Discard moldy or clearly rancid nuts. A bitter, paint-like, or stale oily smell can indicate oxidation. Roasting does not reliably make spoiled or contaminated food safe. Whole nuts also present a choking risk for people who cannot chew or swallow them safely; texture should match the person’s needs.</w:t>
      </w:r>
    </w:p>
    <w:p>
      <w:pPr>
        <w:pStyle w:val="Heading2"/>
      </w:pPr>
      <w:r>
        <w:t>Sources and further reading</w:t>
      </w:r>
    </w:p>
    <w:p>
      <w:hyperlink r:id="rId12">
        <w:r>
          <w:rPr>
            <w:color w:val="245B43"/>
            <w:u w:val="single"/>
          </w:rPr>
          <w:t>US Forest Service Ethnobotany Nuts</w:t>
        </w:r>
      </w:hyperlink>
    </w:p>
    <w:p>
      <w:hyperlink r:id="rId13">
        <w:r>
          <w:rPr>
            <w:color w:val="245B43"/>
            <w:u w:val="single"/>
          </w:rPr>
          <w:t>USDA FoodData Central</w:t>
        </w:r>
      </w:hyperlink>
    </w:p>
    <w:p>
      <w:hyperlink r:id="rId14">
        <w:r>
          <w:rPr>
            <w:color w:val="245B43"/>
            <w:u w:val="single"/>
          </w:rPr>
          <w:t>NIH Office of Dietary Supplements Selenium Fact Sheet</w:t>
        </w:r>
      </w:hyperlink>
    </w:p>
    <w:p>
      <w:hyperlink r:id="rId15">
        <w:r>
          <w:rPr>
            <w:color w:val="245B43"/>
            <w:u w:val="single"/>
          </w:rPr>
          <w:t>FDA Food Allergies</w:t>
        </w:r>
      </w:hyperlink>
    </w:p>
    <w:p>
      <w:r>
        <w:rPr>
          <w:b w:val="0"/>
          <w:i w:val="0"/>
        </w:rPr>
        <w:t xml:space="preserve">Added September 22, 2026 · </w:t>
      </w:r>
      <w:hyperlink r:id="rId16">
        <w:r>
          <w:rPr>
            <w:color w:val="245B43"/>
            <w:u w:val="single"/>
          </w:rPr>
          <w:t>All Information Sheets</w:t>
        </w:r>
      </w:hyperlink>
    </w:p>
    <w:p>
      <w:pPr>
        <w:pStyle w:val="Heading2"/>
      </w:pPr>
      <w:r>
        <w:t>Sharing and reuse</w:t>
      </w:r>
    </w:p>
    <w:p>
      <w:r>
        <w:rPr>
          <w:b w:val="0"/>
          <w:i w:val="0"/>
        </w:rPr>
        <w:t xml:space="preserve">© 2026 James Taylor · Plant Education Project. The original human-authored text in this Information Sheet is licensed under </w:t>
      </w:r>
      <w:hyperlink r:id="rId17">
        <w:r>
          <w:rPr>
            <w:color w:val="245B43"/>
            <w:u w:val="single"/>
          </w:rPr>
          <w:t>Creative Commons Attribution–NonCommercial 4.0 International (CC BY-NC 4.0)</w:t>
        </w:r>
      </w:hyperlink>
      <w:r>
        <w:t>.</w:t>
      </w:r>
    </w:p>
    <w:p>
      <w:r>
        <w:rPr>
          <w:b w:val="0"/>
          <w:i w:val="0"/>
        </w:rPr>
        <w:t>You may share and adapt this text for noncommercial purposes. Credit the author and Plant Education Project, link to the source and license, and identify any changes. These permissions cannot be withdrawn from users who comply with the license, including for copies already released.</w:t>
      </w:r>
    </w:p>
    <w:p>
      <w:r>
        <w:rPr>
          <w:b w:val="0"/>
          <w:i w:val="0"/>
        </w:rPr>
        <w:t>Photographs, illustrations, logos, quotations, and other third-party material are excluded from this text license and retain their individual rights and permissions. Separately published articles and book manuscripts are not licensed by this notice.</w:t>
      </w:r>
    </w:p>
    <w:p>
      <w:r>
        <w:br w:type="page"/>
      </w:r>
    </w:p>
    <w:p>
      <w:pPr>
        <w:pStyle w:val="Heading1"/>
      </w:pPr>
      <w:r>
        <w:t>Sharing and image credits</w:t>
      </w:r>
    </w:p>
    <w:p>
      <w:r>
        <w:t>Original Information Sheet text is licensed under Creative Commons Attribution–NonCommercial 4.0 International (CC BY-NC 4.0). Credit James Taylor and the Plant Education Project, link to the source and license, and identify changes. Photographs and other third-party material retain the rights and permissions stated with each image.</w:t>
      </w:r>
    </w:p>
    <w:sectPr w:rsidR="00FC693F" w:rsidRPr="0006063C" w:rsidSect="00034616">
      <w:headerReference w:type="default" r:id="rId9"/>
      <w:footerReference w:type="default" r:id="rId10"/>
      <w:pgSz w:w="12240" w:h="15840"/>
      <w:pgMar w:top="936" w:right="1037" w:bottom="936" w:left="1037" w:header="360" w:footer="36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 xml:space="preserve">Plant Education Project · 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8"/>
      </w:rPr>
      <w:t>Plant Education Project · Combined Information Sheets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after="140"/>
    </w:pPr>
    <w:rPr>
      <w:rFonts w:ascii="Arial" w:hAnsi="Arial"/>
      <w:color w:val="19231F"/>
      <w:sz w:val="28"/>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Arial" w:hAnsi="Arial"/>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Arial" w:hAnsi="Arial"/>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40"/>
      <w:outlineLvl w:val="0"/>
    </w:pPr>
    <w:rPr>
      <w:rFonts w:asciiTheme="majorHAnsi" w:eastAsiaTheme="majorEastAsia" w:hAnsiTheme="majorHAnsi" w:cstheme="majorBidi" w:ascii="Arial" w:hAnsi="Arial"/>
      <w:b/>
      <w:bCs/>
      <w:color w:val="173F35"/>
      <w:sz w:val="42"/>
      <w:szCs w:val="28"/>
    </w:rPr>
  </w:style>
  <w:style w:type="paragraph" w:styleId="Heading2">
    <w:name w:val="heading 2"/>
    <w:basedOn w:val="Normal"/>
    <w:next w:val="Normal"/>
    <w:link w:val="Heading2Char"/>
    <w:uiPriority w:val="9"/>
    <w:unhideWhenUsed/>
    <w:qFormat/>
    <w:rsid w:val="00FC693F"/>
    <w:pPr>
      <w:keepNext/>
      <w:keepLines/>
      <w:spacing w:before="240" w:after="140"/>
      <w:outlineLvl w:val="1"/>
    </w:pPr>
    <w:rPr>
      <w:rFonts w:asciiTheme="majorHAnsi" w:eastAsiaTheme="majorEastAsia" w:hAnsiTheme="majorHAnsi" w:cstheme="majorBidi" w:ascii="Arial" w:hAnsi="Arial"/>
      <w:b/>
      <w:bCs/>
      <w:color w:val="173F35"/>
      <w:sz w:val="34"/>
      <w:szCs w:val="26"/>
    </w:rPr>
  </w:style>
  <w:style w:type="paragraph" w:styleId="Heading3">
    <w:name w:val="heading 3"/>
    <w:basedOn w:val="Normal"/>
    <w:next w:val="Normal"/>
    <w:link w:val="Heading3Char"/>
    <w:uiPriority w:val="9"/>
    <w:unhideWhenUsed/>
    <w:qFormat/>
    <w:rsid w:val="00FC693F"/>
    <w:pPr>
      <w:keepNext/>
      <w:keepLines/>
      <w:spacing w:before="240" w:after="140"/>
      <w:outlineLvl w:val="2"/>
    </w:pPr>
    <w:rPr>
      <w:rFonts w:asciiTheme="majorHAnsi" w:eastAsiaTheme="majorEastAsia" w:hAnsiTheme="majorHAnsi" w:cstheme="majorBidi" w:ascii="Arial" w:hAnsi="Arial"/>
      <w:b/>
      <w:bCs/>
      <w:color w:val="173F35"/>
      <w:sz w:val="3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140" w:line="240" w:lineRule="auto" w:before="240"/>
      <w:contextualSpacing/>
    </w:pPr>
    <w:rPr>
      <w:rFonts w:asciiTheme="majorHAnsi" w:eastAsiaTheme="majorEastAsia" w:hAnsiTheme="majorHAnsi" w:cstheme="majorBidi" w:ascii="Arial" w:hAnsi="Arial"/>
      <w:b/>
      <w:color w:val="173F35"/>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Arial" w:hAnsi="Arial"/>
      <w:b/>
      <w:bCs/>
      <w:color w:val="46534C"/>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planteducationproject.com/learn/different-kinds-of-nuts/" TargetMode="External"/><Relationship Id="rId12" Type="http://schemas.openxmlformats.org/officeDocument/2006/relationships/hyperlink" Target="https://www.fs.usda.gov/wildflowers/ethnobotany/food/nuts.shtml" TargetMode="External"/><Relationship Id="rId13" Type="http://schemas.openxmlformats.org/officeDocument/2006/relationships/hyperlink" Target="https://fdc.nal.usda.gov/" TargetMode="External"/><Relationship Id="rId14" Type="http://schemas.openxmlformats.org/officeDocument/2006/relationships/hyperlink" Target="https://ods.od.nih.gov/factsheets/Selenium-Consumer/" TargetMode="External"/><Relationship Id="rId15" Type="http://schemas.openxmlformats.org/officeDocument/2006/relationships/hyperlink" Target="https://www.fda.gov/food/food-labeling-nutrition/food-allergies" TargetMode="External"/><Relationship Id="rId16" Type="http://schemas.openxmlformats.org/officeDocument/2006/relationships/hyperlink" Target="https://planteducationproject.com/information-sheets/master-index/" TargetMode="External"/><Relationship Id="rId17" Type="http://schemas.openxmlformats.org/officeDocument/2006/relationships/hyperlink" Target="https://creativecommons.org/licenses/by-nc/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learn different kinds of nuts Information Sheets</dc:title>
  <dc:subject>Related Information Sheets combined for reading and printing</dc:subject>
  <dc:creator>Plant Education Project</dc:creator>
  <cp:keywords>Plant Education Project, Information Sheets, DOCX</cp:keywords>
  <dc:description>generated by python-docx</dc:description>
  <cp:lastModifiedBy/>
  <cp:revision>1</cp:revision>
  <dcterms:created xsi:type="dcterms:W3CDTF">2013-12-23T23:15:00Z</dcterms:created>
  <dcterms:modified xsi:type="dcterms:W3CDTF">2013-12-23T23:15:00Z</dcterms:modified>
  <cp:category/>
</cp:coreProperties>
</file>