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Cactus and Succulent Root Systems</w:t>
      </w:r>
    </w:p>
    <w:p>
      <w:pPr>
        <w:spacing w:after="320"/>
      </w:pPr>
      <w:r>
        <w:t>Combined Information Sheets</w:t>
      </w:r>
    </w:p>
    <w:p>
      <w:pPr>
        <w:pStyle w:val="Heading1"/>
      </w:pPr>
      <w:r>
        <w:t>Cactus and Succulent Root Systems</w:t>
      </w:r>
    </w:p>
    <w:p>
      <w:r>
        <w:rPr>
          <w:b/>
        </w:rPr>
        <w:t xml:space="preserve">Online Information Sheet: </w:t>
      </w:r>
      <w:hyperlink r:id="rId11">
        <w:r>
          <w:rPr>
            <w:color w:val="245B43"/>
            <w:u w:val="single"/>
          </w:rPr>
          <w:t>planteducationproject.com/learn/cactus-and-succulent-root-systems/</w:t>
        </w:r>
      </w:hyperlink>
    </w:p>
    <w:p>
      <w:r>
        <w:rPr>
          <w:b w:val="0"/>
          <w:i w:val="0"/>
        </w:rPr>
        <w:t>🌿 Information Sheet</w:t>
      </w:r>
    </w:p>
    <w:p>
      <w:r>
        <w:rPr>
          <w:b/>
          <w:i w:val="0"/>
        </w:rPr>
        <w:t xml:space="preserve">Main idea  </w:t>
      </w:r>
      <w:r>
        <w:t>Cactus and succulent roots are built to capture water quickly, survive dry intervals, anchor the plant, and sometimes store water or food. Their form varies widely, so pot shape and watering should follow the roots—not merely the size of the stem or leaves.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Root pattern</w:t>
            </w:r>
          </w:p>
        </w:tc>
        <w:tc>
          <w:tcPr>
            <w:tcW w:type="dxa" w:w="3389"/>
            <w:vAlign w:val="center"/>
            <w:shd w:fill="E9EDF0"/>
          </w:tcPr>
          <w:p>
            <w:pPr>
              <w:spacing w:after="60"/>
            </w:pPr>
            <w:r>
              <w:rPr>
                <w:b/>
                <w:i w:val="0"/>
                <w:sz w:val="22"/>
              </w:rPr>
              <w:t>What it looks like</w:t>
            </w:r>
          </w:p>
        </w:tc>
        <w:tc>
          <w:tcPr>
            <w:tcW w:type="dxa" w:w="3389"/>
            <w:vAlign w:val="center"/>
            <w:shd w:fill="E9EDF0"/>
          </w:tcPr>
          <w:p>
            <w:pPr>
              <w:spacing w:after="60"/>
            </w:pPr>
            <w:r>
              <w:rPr>
                <w:b/>
                <w:i w:val="0"/>
                <w:sz w:val="22"/>
              </w:rPr>
              <w:t>How it works</w:t>
            </w:r>
          </w:p>
        </w:tc>
      </w:tr>
      <w:tr>
        <w:trPr>
          <w:cantSplit/>
        </w:trPr>
        <w:tc>
          <w:tcPr>
            <w:tcW w:type="dxa" w:w="3389"/>
            <w:vAlign w:val="center"/>
            <w:shd w:fill="FFFFFF"/>
          </w:tcPr>
          <w:p>
            <w:pPr>
              <w:spacing w:after="60"/>
            </w:pPr>
            <w:r>
              <w:rPr>
                <w:b/>
                <w:i w:val="0"/>
                <w:sz w:val="22"/>
              </w:rPr>
              <w:t>Shallow fibrous</w:t>
            </w:r>
          </w:p>
        </w:tc>
        <w:tc>
          <w:tcPr>
            <w:tcW w:type="dxa" w:w="3389"/>
            <w:vAlign w:val="center"/>
            <w:shd w:fill="FFFFFF"/>
          </w:tcPr>
          <w:p>
            <w:pPr>
              <w:spacing w:after="60"/>
            </w:pPr>
            <w:r>
              <w:rPr>
                <w:b w:val="0"/>
                <w:i w:val="0"/>
                <w:sz w:val="22"/>
              </w:rPr>
              <w:t>Many thin roots spreading broadly near the surface</w:t>
            </w:r>
          </w:p>
        </w:tc>
        <w:tc>
          <w:tcPr>
            <w:tcW w:type="dxa" w:w="3389"/>
            <w:vAlign w:val="center"/>
            <w:shd w:fill="FFFFFF"/>
          </w:tcPr>
          <w:p>
            <w:pPr>
              <w:spacing w:after="60"/>
            </w:pPr>
            <w:r>
              <w:rPr>
                <w:b w:val="0"/>
                <w:i w:val="0"/>
                <w:sz w:val="22"/>
              </w:rPr>
              <w:t>Rapidly intercepts light rain before it evaporates or drains below reach.</w:t>
            </w:r>
          </w:p>
        </w:tc>
      </w:tr>
      <w:tr>
        <w:trPr>
          <w:cantSplit/>
        </w:trPr>
        <w:tc>
          <w:tcPr>
            <w:tcW w:type="dxa" w:w="3389"/>
            <w:vAlign w:val="center"/>
            <w:shd w:fill="FFFFFF"/>
          </w:tcPr>
          <w:p>
            <w:pPr>
              <w:spacing w:after="60"/>
            </w:pPr>
            <w:r>
              <w:rPr>
                <w:b/>
                <w:i w:val="0"/>
                <w:sz w:val="22"/>
              </w:rPr>
              <w:t>Taproot</w:t>
            </w:r>
          </w:p>
        </w:tc>
        <w:tc>
          <w:tcPr>
            <w:tcW w:type="dxa" w:w="3389"/>
            <w:vAlign w:val="center"/>
            <w:shd w:fill="FFFFFF"/>
          </w:tcPr>
          <w:p>
            <w:pPr>
              <w:spacing w:after="60"/>
            </w:pPr>
            <w:r>
              <w:rPr>
                <w:b w:val="0"/>
                <w:i w:val="0"/>
                <w:sz w:val="22"/>
              </w:rPr>
              <w:t>One dominant root descending below the crown, with side roots</w:t>
            </w:r>
          </w:p>
        </w:tc>
        <w:tc>
          <w:tcPr>
            <w:tcW w:type="dxa" w:w="3389"/>
            <w:vAlign w:val="center"/>
            <w:shd w:fill="FFFFFF"/>
          </w:tcPr>
          <w:p>
            <w:pPr>
              <w:spacing w:after="60"/>
            </w:pPr>
            <w:r>
              <w:rPr>
                <w:b w:val="0"/>
                <w:i w:val="0"/>
                <w:sz w:val="22"/>
              </w:rPr>
              <w:t>Anchors the plant and may reach deeper moisture; some taproots also store reserves.</w:t>
            </w:r>
          </w:p>
        </w:tc>
      </w:tr>
      <w:tr>
        <w:trPr>
          <w:cantSplit/>
        </w:trPr>
        <w:tc>
          <w:tcPr>
            <w:tcW w:type="dxa" w:w="3389"/>
            <w:vAlign w:val="center"/>
            <w:shd w:fill="FFFFFF"/>
          </w:tcPr>
          <w:p>
            <w:pPr>
              <w:spacing w:after="60"/>
            </w:pPr>
            <w:r>
              <w:rPr>
                <w:b/>
                <w:i w:val="0"/>
                <w:sz w:val="22"/>
              </w:rPr>
              <w:t>Tuberous or swollen</w:t>
            </w:r>
          </w:p>
        </w:tc>
        <w:tc>
          <w:tcPr>
            <w:tcW w:type="dxa" w:w="3389"/>
            <w:vAlign w:val="center"/>
            <w:shd w:fill="FFFFFF"/>
          </w:tcPr>
          <w:p>
            <w:pPr>
              <w:spacing w:after="60"/>
            </w:pPr>
            <w:r>
              <w:rPr>
                <w:b w:val="0"/>
                <w:i w:val="0"/>
                <w:sz w:val="22"/>
              </w:rPr>
              <w:t>One or more thick, fleshy storage roots</w:t>
            </w:r>
          </w:p>
        </w:tc>
        <w:tc>
          <w:tcPr>
            <w:tcW w:type="dxa" w:w="3389"/>
            <w:vAlign w:val="center"/>
            <w:shd w:fill="FFFFFF"/>
          </w:tcPr>
          <w:p>
            <w:pPr>
              <w:spacing w:after="60"/>
            </w:pPr>
            <w:r>
              <w:rPr>
                <w:b w:val="0"/>
                <w:i w:val="0"/>
                <w:sz w:val="22"/>
              </w:rPr>
              <w:t>Stores water and carbohydrates; damage or prolonged wetness can cause major loss.</w:t>
            </w:r>
          </w:p>
        </w:tc>
      </w:tr>
      <w:tr>
        <w:trPr>
          <w:cantSplit/>
        </w:trPr>
        <w:tc>
          <w:tcPr>
            <w:tcW w:type="dxa" w:w="3389"/>
            <w:vAlign w:val="center"/>
            <w:shd w:fill="FFFFFF"/>
          </w:tcPr>
          <w:p>
            <w:pPr>
              <w:spacing w:after="60"/>
            </w:pPr>
            <w:r>
              <w:rPr>
                <w:b/>
                <w:i w:val="0"/>
                <w:sz w:val="22"/>
              </w:rPr>
              <w:t>Contractile</w:t>
            </w:r>
          </w:p>
        </w:tc>
        <w:tc>
          <w:tcPr>
            <w:tcW w:type="dxa" w:w="3389"/>
            <w:vAlign w:val="center"/>
            <w:shd w:fill="FFFFFF"/>
          </w:tcPr>
          <w:p>
            <w:pPr>
              <w:spacing w:after="60"/>
            </w:pPr>
            <w:r>
              <w:rPr>
                <w:b w:val="0"/>
                <w:i w:val="0"/>
                <w:sz w:val="22"/>
              </w:rPr>
              <w:t>Roots shorten or pull the plant downward as tissues change</w:t>
            </w:r>
          </w:p>
        </w:tc>
        <w:tc>
          <w:tcPr>
            <w:tcW w:type="dxa" w:w="3389"/>
            <w:vAlign w:val="center"/>
            <w:shd w:fill="FFFFFF"/>
          </w:tcPr>
          <w:p>
            <w:pPr>
              <w:spacing w:after="60"/>
            </w:pPr>
            <w:r>
              <w:rPr>
                <w:b w:val="0"/>
                <w:i w:val="0"/>
                <w:sz w:val="22"/>
              </w:rPr>
              <w:t>Keeps the crown at a favorable soil depth and may reduce exposure during drought.</w:t>
            </w:r>
          </w:p>
        </w:tc>
      </w:tr>
      <w:tr>
        <w:trPr>
          <w:cantSplit/>
        </w:trPr>
        <w:tc>
          <w:tcPr>
            <w:tcW w:type="dxa" w:w="3389"/>
            <w:vAlign w:val="center"/>
            <w:shd w:fill="FFFFFF"/>
          </w:tcPr>
          <w:p>
            <w:pPr>
              <w:spacing w:after="60"/>
            </w:pPr>
            <w:r>
              <w:rPr>
                <w:b/>
                <w:i w:val="0"/>
                <w:sz w:val="22"/>
              </w:rPr>
              <w:t>Adventitious</w:t>
            </w:r>
          </w:p>
        </w:tc>
        <w:tc>
          <w:tcPr>
            <w:tcW w:type="dxa" w:w="3389"/>
            <w:vAlign w:val="center"/>
            <w:shd w:fill="FFFFFF"/>
          </w:tcPr>
          <w:p>
            <w:pPr>
              <w:spacing w:after="60"/>
            </w:pPr>
            <w:r>
              <w:rPr>
                <w:b w:val="0"/>
                <w:i w:val="0"/>
                <w:sz w:val="22"/>
              </w:rPr>
              <w:t>New roots arise from stems, pads, joints, or leaves</w:t>
            </w:r>
          </w:p>
        </w:tc>
        <w:tc>
          <w:tcPr>
            <w:tcW w:type="dxa" w:w="3389"/>
            <w:vAlign w:val="center"/>
            <w:shd w:fill="FFFFFF"/>
          </w:tcPr>
          <w:p>
            <w:pPr>
              <w:spacing w:after="60"/>
            </w:pPr>
            <w:r>
              <w:rPr>
                <w:b w:val="0"/>
                <w:i w:val="0"/>
                <w:sz w:val="22"/>
              </w:rPr>
              <w:t>Lets detached parts establish quickly and supports clumping or trailing growth.</w:t>
            </w:r>
          </w:p>
        </w:tc>
      </w:tr>
    </w:tbl>
    <w:p>
      <w:pPr>
        <w:spacing w:after="20"/>
      </w:pPr>
    </w:p>
    <w:p>
      <w:pPr>
        <w:pStyle w:val="Heading2"/>
      </w:pPr>
      <w:r>
        <w:t>What the Roots Do</w:t>
      </w:r>
    </w:p>
    <w:p>
      <w:r>
        <w:rPr>
          <w:b/>
          <w:i w:val="0"/>
        </w:rPr>
        <w:t xml:space="preserve">Absorb water and minerals. </w:t>
      </w:r>
      <w:r>
        <w:t>Fine young roots and root hairs provide most absorption. Older, thicker roots mainly transport water, anchor the plant, or store reserves.</w:t>
      </w:r>
    </w:p>
    <w:p>
      <w:r>
        <w:rPr>
          <w:b/>
          <w:i w:val="0"/>
        </w:rPr>
        <w:t xml:space="preserve">Respond to pulses of rain. </w:t>
      </w:r>
      <w:r>
        <w:t>Many desert cacti rapidly produce or reactivate fine absorbing roots after rain. During drought, some fine roots die back, reducing the surface through which water could be lost.</w:t>
      </w:r>
    </w:p>
    <w:p>
      <w:r>
        <w:rPr>
          <w:b/>
          <w:i w:val="0"/>
        </w:rPr>
        <w:t xml:space="preserve">Store reserves. </w:t>
      </w:r>
      <w:r>
        <w:t>Species with fleshy roots can survive long dry periods, but those same tissues are vulnerable when oxygen is excluded by saturated potting mix.</w:t>
      </w:r>
    </w:p>
    <w:p>
      <w:r>
        <w:rPr>
          <w:b/>
          <w:i w:val="0"/>
        </w:rPr>
        <w:t xml:space="preserve">Work with microbes. </w:t>
      </w:r>
      <w:r>
        <w:t>Root-associated fungi and bacteria can improve access to water and nutrients. Roots also release compounds that shape the thin zone of soil called the rhizosphere.</w:t>
      </w:r>
    </w:p>
    <w:p>
      <w:pPr>
        <w:pStyle w:val="Heading2"/>
      </w:pPr>
      <w:r>
        <w:t>Roots in Their Native Environment</w:t>
      </w:r>
    </w:p>
    <w:p>
      <w:r>
        <w:rPr>
          <w:b w:val="0"/>
          <w:i w:val="0"/>
        </w:rPr>
        <w:t>Desert soil is not uniformly dry. Brief rain wets the upper layer first, favoring wide, shallow roots. Cracks, rock pockets, washes, and deeper soil layers can favor taproots or thicker storage roots. Succulents also occur in grasslands, forests, cliffs, and coastal habitats, so “succulent” does not mean every species wants the same root environment.</w:t>
      </w:r>
    </w:p>
    <w:p>
      <w:pPr>
        <w:pStyle w:val="Heading2"/>
      </w:pPr>
      <w:r>
        <w:t>Examples You Can See</w:t>
      </w:r>
    </w:p>
    <w:p>
      <w:pPr>
        <w:pStyle w:val="Heading2"/>
      </w:pPr>
      <w:r>
        <w:t>What Root Form Means for Care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Observation</w:t>
            </w:r>
          </w:p>
        </w:tc>
        <w:tc>
          <w:tcPr>
            <w:tcW w:type="dxa" w:w="3389"/>
            <w:vAlign w:val="center"/>
            <w:shd w:fill="E9EDF0"/>
          </w:tcPr>
          <w:p>
            <w:pPr>
              <w:spacing w:after="60"/>
            </w:pPr>
            <w:r>
              <w:rPr>
                <w:b/>
                <w:i w:val="0"/>
                <w:sz w:val="22"/>
              </w:rPr>
              <w:t>Likely meaning</w:t>
            </w:r>
          </w:p>
        </w:tc>
        <w:tc>
          <w:tcPr>
            <w:tcW w:type="dxa" w:w="3389"/>
            <w:vAlign w:val="center"/>
            <w:shd w:fill="E9EDF0"/>
          </w:tcPr>
          <w:p>
            <w:pPr>
              <w:spacing w:after="60"/>
            </w:pPr>
            <w:r>
              <w:rPr>
                <w:b/>
                <w:i w:val="0"/>
                <w:sz w:val="22"/>
              </w:rPr>
              <w:t>Practical response</w:t>
            </w:r>
          </w:p>
        </w:tc>
      </w:tr>
      <w:tr>
        <w:trPr>
          <w:cantSplit/>
        </w:trPr>
        <w:tc>
          <w:tcPr>
            <w:tcW w:type="dxa" w:w="3389"/>
            <w:vAlign w:val="center"/>
            <w:shd w:fill="FFFFFF"/>
          </w:tcPr>
          <w:p>
            <w:pPr>
              <w:spacing w:after="60"/>
            </w:pPr>
            <w:r>
              <w:rPr>
                <w:b/>
                <w:i w:val="0"/>
                <w:sz w:val="22"/>
              </w:rPr>
              <w:t>Fine shallow roots</w:t>
            </w:r>
          </w:p>
        </w:tc>
        <w:tc>
          <w:tcPr>
            <w:tcW w:type="dxa" w:w="3389"/>
            <w:vAlign w:val="center"/>
            <w:shd w:fill="FFFFFF"/>
          </w:tcPr>
          <w:p>
            <w:pPr>
              <w:spacing w:after="60"/>
            </w:pPr>
            <w:r>
              <w:rPr>
                <w:b w:val="0"/>
                <w:i w:val="0"/>
                <w:sz w:val="22"/>
              </w:rPr>
              <w:t>Fast access to surface moisture</w:t>
            </w:r>
          </w:p>
        </w:tc>
        <w:tc>
          <w:tcPr>
            <w:tcW w:type="dxa" w:w="3389"/>
            <w:vAlign w:val="center"/>
            <w:shd w:fill="FFFFFF"/>
          </w:tcPr>
          <w:p>
            <w:pPr>
              <w:spacing w:after="60"/>
            </w:pPr>
            <w:r>
              <w:rPr>
                <w:b w:val="0"/>
                <w:i w:val="0"/>
                <w:sz w:val="22"/>
              </w:rPr>
              <w:t>Use a broad, well-drained root zone. Water thoroughly, then allow the mix to dry appropriately for the species.</w:t>
            </w:r>
          </w:p>
        </w:tc>
      </w:tr>
      <w:tr>
        <w:trPr>
          <w:cantSplit/>
        </w:trPr>
        <w:tc>
          <w:tcPr>
            <w:tcW w:type="dxa" w:w="3389"/>
            <w:vAlign w:val="center"/>
            <w:shd w:fill="FFFFFF"/>
          </w:tcPr>
          <w:p>
            <w:pPr>
              <w:spacing w:after="60"/>
            </w:pPr>
            <w:r>
              <w:rPr>
                <w:b/>
                <w:i w:val="0"/>
                <w:sz w:val="22"/>
              </w:rPr>
              <w:t>Long taproot</w:t>
            </w:r>
          </w:p>
        </w:tc>
        <w:tc>
          <w:tcPr>
            <w:tcW w:type="dxa" w:w="3389"/>
            <w:vAlign w:val="center"/>
            <w:shd w:fill="FFFFFF"/>
          </w:tcPr>
          <w:p>
            <w:pPr>
              <w:spacing w:after="60"/>
            </w:pPr>
            <w:r>
              <w:rPr>
                <w:b w:val="0"/>
                <w:i w:val="0"/>
                <w:sz w:val="22"/>
              </w:rPr>
              <w:t>Depth and anchorage matter</w:t>
            </w:r>
          </w:p>
        </w:tc>
        <w:tc>
          <w:tcPr>
            <w:tcW w:type="dxa" w:w="3389"/>
            <w:vAlign w:val="center"/>
            <w:shd w:fill="FFFFFF"/>
          </w:tcPr>
          <w:p>
            <w:pPr>
              <w:spacing w:after="60"/>
            </w:pPr>
            <w:r>
              <w:rPr>
                <w:b w:val="0"/>
                <w:i w:val="0"/>
                <w:sz w:val="22"/>
              </w:rPr>
              <w:t>Choose a deeper pot; never bend or coil the taproot merely to fit a shallow container.</w:t>
            </w:r>
          </w:p>
        </w:tc>
      </w:tr>
      <w:tr>
        <w:trPr>
          <w:cantSplit/>
        </w:trPr>
        <w:tc>
          <w:tcPr>
            <w:tcW w:type="dxa" w:w="3389"/>
            <w:vAlign w:val="center"/>
            <w:shd w:fill="FFFFFF"/>
          </w:tcPr>
          <w:p>
            <w:pPr>
              <w:spacing w:after="60"/>
            </w:pPr>
            <w:r>
              <w:rPr>
                <w:b/>
                <w:i w:val="0"/>
                <w:sz w:val="22"/>
              </w:rPr>
              <w:t>Swollen storage root</w:t>
            </w:r>
          </w:p>
        </w:tc>
        <w:tc>
          <w:tcPr>
            <w:tcW w:type="dxa" w:w="3389"/>
            <w:vAlign w:val="center"/>
            <w:shd w:fill="FFFFFF"/>
          </w:tcPr>
          <w:p>
            <w:pPr>
              <w:spacing w:after="60"/>
            </w:pPr>
            <w:r>
              <w:rPr>
                <w:b w:val="0"/>
                <w:i w:val="0"/>
                <w:sz w:val="22"/>
              </w:rPr>
              <w:t>The root is a reserve organ</w:t>
            </w:r>
          </w:p>
        </w:tc>
        <w:tc>
          <w:tcPr>
            <w:tcW w:type="dxa" w:w="3389"/>
            <w:vAlign w:val="center"/>
            <w:shd w:fill="FFFFFF"/>
          </w:tcPr>
          <w:p>
            <w:pPr>
              <w:spacing w:after="60"/>
            </w:pPr>
            <w:r>
              <w:rPr>
                <w:b w:val="0"/>
                <w:i w:val="0"/>
                <w:sz w:val="22"/>
              </w:rPr>
              <w:t>Handle gently. Use an airy mix and avoid frequent watering while growth is slow or dormant.</w:t>
            </w:r>
          </w:p>
        </w:tc>
      </w:tr>
      <w:tr>
        <w:trPr>
          <w:cantSplit/>
        </w:trPr>
        <w:tc>
          <w:tcPr>
            <w:tcW w:type="dxa" w:w="3389"/>
            <w:vAlign w:val="center"/>
            <w:shd w:fill="FFFFFF"/>
          </w:tcPr>
          <w:p>
            <w:pPr>
              <w:spacing w:after="60"/>
            </w:pPr>
            <w:r>
              <w:rPr>
                <w:b/>
                <w:i w:val="0"/>
                <w:sz w:val="22"/>
              </w:rPr>
              <w:t>Roots circling the pot</w:t>
            </w:r>
          </w:p>
        </w:tc>
        <w:tc>
          <w:tcPr>
            <w:tcW w:type="dxa" w:w="3389"/>
            <w:vAlign w:val="center"/>
            <w:shd w:fill="FFFFFF"/>
          </w:tcPr>
          <w:p>
            <w:pPr>
              <w:spacing w:after="60"/>
            </w:pPr>
            <w:r>
              <w:rPr>
                <w:b w:val="0"/>
                <w:i w:val="0"/>
                <w:sz w:val="22"/>
              </w:rPr>
              <w:t>Plant has occupied the container</w:t>
            </w:r>
          </w:p>
        </w:tc>
        <w:tc>
          <w:tcPr>
            <w:tcW w:type="dxa" w:w="3389"/>
            <w:vAlign w:val="center"/>
            <w:shd w:fill="FFFFFF"/>
          </w:tcPr>
          <w:p>
            <w:pPr>
              <w:spacing w:after="60"/>
            </w:pPr>
            <w:r>
              <w:rPr>
                <w:b w:val="0"/>
                <w:i w:val="0"/>
                <w:sz w:val="22"/>
              </w:rPr>
              <w:t>Repot only one size larger. Correct severe circling carefully; do not overpot.</w:t>
            </w:r>
          </w:p>
        </w:tc>
      </w:tr>
      <w:tr>
        <w:trPr>
          <w:cantSplit/>
        </w:trPr>
        <w:tc>
          <w:tcPr>
            <w:tcW w:type="dxa" w:w="3389"/>
            <w:vAlign w:val="center"/>
            <w:shd w:fill="FFFFFF"/>
          </w:tcPr>
          <w:p>
            <w:pPr>
              <w:spacing w:after="60"/>
            </w:pPr>
            <w:r>
              <w:rPr>
                <w:b/>
                <w:i w:val="0"/>
                <w:sz w:val="22"/>
              </w:rPr>
              <w:t>Brown, mushy, foul roots</w:t>
            </w:r>
          </w:p>
        </w:tc>
        <w:tc>
          <w:tcPr>
            <w:tcW w:type="dxa" w:w="3389"/>
            <w:vAlign w:val="center"/>
            <w:shd w:fill="FFFFFF"/>
          </w:tcPr>
          <w:p>
            <w:pPr>
              <w:spacing w:after="60"/>
            </w:pPr>
            <w:r>
              <w:rPr>
                <w:b w:val="0"/>
                <w:i w:val="0"/>
                <w:sz w:val="22"/>
              </w:rPr>
              <w:t>Root rot is likely</w:t>
            </w:r>
          </w:p>
        </w:tc>
        <w:tc>
          <w:tcPr>
            <w:tcW w:type="dxa" w:w="3389"/>
            <w:vAlign w:val="center"/>
            <w:shd w:fill="FFFFFF"/>
          </w:tcPr>
          <w:p>
            <w:pPr>
              <w:spacing w:after="60"/>
            </w:pPr>
            <w:r>
              <w:rPr>
                <w:b w:val="0"/>
                <w:i w:val="0"/>
                <w:sz w:val="22"/>
              </w:rPr>
              <w:t>Remove wet mix, cut away dead tissue with a clean tool, let wounds dry, and correct drainage and watering.</w:t>
            </w:r>
          </w:p>
        </w:tc>
      </w:tr>
      <w:tr>
        <w:trPr>
          <w:cantSplit/>
        </w:trPr>
        <w:tc>
          <w:tcPr>
            <w:tcW w:type="dxa" w:w="3389"/>
            <w:vAlign w:val="center"/>
            <w:shd w:fill="FFFFFF"/>
          </w:tcPr>
          <w:p>
            <w:pPr>
              <w:spacing w:after="60"/>
            </w:pPr>
            <w:r>
              <w:rPr>
                <w:b/>
                <w:i w:val="0"/>
                <w:sz w:val="22"/>
              </w:rPr>
              <w:t>Pale, firm new roots</w:t>
            </w:r>
          </w:p>
        </w:tc>
        <w:tc>
          <w:tcPr>
            <w:tcW w:type="dxa" w:w="3389"/>
            <w:vAlign w:val="center"/>
            <w:shd w:fill="FFFFFF"/>
          </w:tcPr>
          <w:p>
            <w:pPr>
              <w:spacing w:after="60"/>
            </w:pPr>
            <w:r>
              <w:rPr>
                <w:b w:val="0"/>
                <w:i w:val="0"/>
                <w:sz w:val="22"/>
              </w:rPr>
              <w:t>Active growth</w:t>
            </w:r>
          </w:p>
        </w:tc>
        <w:tc>
          <w:tcPr>
            <w:tcW w:type="dxa" w:w="3389"/>
            <w:vAlign w:val="center"/>
            <w:shd w:fill="FFFFFF"/>
          </w:tcPr>
          <w:p>
            <w:pPr>
              <w:spacing w:after="60"/>
            </w:pPr>
            <w:r>
              <w:rPr>
                <w:b w:val="0"/>
                <w:i w:val="0"/>
                <w:sz w:val="22"/>
              </w:rPr>
              <w:t>Resume watering according to species, temperature, light, and the drying rate of the mix.</w:t>
            </w:r>
          </w:p>
        </w:tc>
      </w:tr>
    </w:tbl>
    <w:p>
      <w:pPr>
        <w:spacing w:after="20"/>
      </w:pPr>
    </w:p>
    <w:p>
      <w:pPr>
        <w:pStyle w:val="Heading2"/>
      </w:pPr>
      <w:r>
        <w:t>Repotting and Root Inspection</w:t>
      </w:r>
    </w:p>
    <w:p>
      <w:pPr>
        <w:pStyle w:val="ListBullet"/>
      </w:pPr>
      <w:r>
        <w:rPr>
          <w:b w:val="0"/>
          <w:i w:val="0"/>
        </w:rPr>
        <w:t>Identify the species and whether it has a taproot, storage root, or mostly fibrous roots before choosing a pot.</w:t>
      </w:r>
    </w:p>
    <w:p>
      <w:pPr>
        <w:pStyle w:val="ListBullet"/>
      </w:pPr>
      <w:r>
        <w:rPr>
          <w:b w:val="0"/>
          <w:i w:val="0"/>
        </w:rPr>
        <w:t>Remove the dry plant gently. Support the crown; do not pull hard on the stem, pads, or leaves.</w:t>
      </w:r>
    </w:p>
    <w:p>
      <w:pPr>
        <w:pStyle w:val="ListBullet"/>
      </w:pPr>
      <w:r>
        <w:rPr>
          <w:b w:val="0"/>
          <w:i w:val="0"/>
        </w:rPr>
        <w:t>Brush away loose mix. Healthy roots are generally firm. Color varies by species and age, so firmness and smell are more reliable than color alone.</w:t>
      </w:r>
    </w:p>
    <w:p>
      <w:pPr>
        <w:pStyle w:val="ListBullet"/>
      </w:pPr>
      <w:r>
        <w:rPr>
          <w:b w:val="0"/>
          <w:i w:val="0"/>
        </w:rPr>
        <w:t>Trim only dead, hollow, badly circling, or rotted roots. Use a clean cutting tool.</w:t>
      </w:r>
    </w:p>
    <w:p>
      <w:pPr>
        <w:pStyle w:val="ListBullet"/>
      </w:pPr>
      <w:r>
        <w:rPr>
          <w:b w:val="0"/>
          <w:i w:val="0"/>
        </w:rPr>
        <w:t>Allow significant cuts to dry and seal before watering. The needed time depends on wound size, humidity, and temperature.</w:t>
      </w:r>
    </w:p>
    <w:p>
      <w:pPr>
        <w:pStyle w:val="ListBullet"/>
      </w:pPr>
      <w:r>
        <w:rPr>
          <w:b w:val="0"/>
          <w:i w:val="0"/>
        </w:rPr>
        <w:t>Replant at the previous crown depth unless the species naturally has a partly buried body. Spread roots naturally; do not force them into a pot that is too small.</w:t>
      </w:r>
    </w:p>
    <w:p>
      <w:pPr>
        <w:pStyle w:val="ListBullet"/>
      </w:pPr>
      <w:r>
        <w:rPr>
          <w:b w:val="0"/>
          <w:i w:val="0"/>
        </w:rPr>
        <w:t>Wait before watering if roots were damaged. Then water thoroughly and let excess water leave the container.</w:t>
      </w:r>
    </w:p>
    <w:p>
      <w:pPr>
        <w:pStyle w:val="Heading2"/>
      </w:pPr>
      <w:r>
        <w:t>Avoid These Mistakes</w:t>
      </w:r>
    </w:p>
    <w:p>
      <w:pPr>
        <w:pStyle w:val="ListBullet"/>
      </w:pPr>
      <w:r>
        <w:rPr>
          <w:b w:val="0"/>
          <w:i w:val="0"/>
        </w:rPr>
        <w:t>Assuming every cactus has only shallow roots.</w:t>
      </w:r>
    </w:p>
    <w:p>
      <w:pPr>
        <w:pStyle w:val="ListBullet"/>
      </w:pPr>
      <w:r>
        <w:rPr>
          <w:b w:val="0"/>
          <w:i w:val="0"/>
        </w:rPr>
        <w:t>Choosing a pot from the height of the top growth while ignoring root depth.</w:t>
      </w:r>
    </w:p>
    <w:p>
      <w:pPr>
        <w:pStyle w:val="ListBullet"/>
      </w:pPr>
      <w:r>
        <w:rPr>
          <w:b w:val="0"/>
          <w:i w:val="0"/>
        </w:rPr>
        <w:t>Using a large volume of water-retentive mix around a small root system.</w:t>
      </w:r>
    </w:p>
    <w:p>
      <w:pPr>
        <w:pStyle w:val="ListBullet"/>
      </w:pPr>
      <w:r>
        <w:rPr>
          <w:b w:val="0"/>
          <w:i w:val="0"/>
        </w:rPr>
        <w:t>Watering by the calendar without checking the mix, season, temperature, and active growth.</w:t>
      </w:r>
    </w:p>
    <w:p>
      <w:pPr>
        <w:pStyle w:val="ListBullet"/>
      </w:pPr>
      <w:r>
        <w:rPr>
          <w:b w:val="0"/>
          <w:i w:val="0"/>
        </w:rPr>
        <w:t>Cutting healthy storage roots simply to make a plant fit a pot.</w:t>
      </w:r>
    </w:p>
    <w:p>
      <w:pPr>
        <w:pStyle w:val="ListBullet"/>
      </w:pPr>
      <w:r>
        <w:rPr>
          <w:b w:val="0"/>
          <w:i w:val="0"/>
        </w:rPr>
        <w:t>Treating aerial or adventitious roots as disease when they are normal for the species.</w:t>
      </w:r>
    </w:p>
    <w:p>
      <w:pPr>
        <w:pStyle w:val="ListBullet"/>
      </w:pPr>
      <w:hyperlink r:id="rId12">
        <w:r>
          <w:rPr>
            <w:color w:val="245B43"/>
            <w:u w:val="single"/>
          </w:rPr>
          <w:t>UC Agriculture and Natural Resources  Cacti as Landscape Plants</w:t>
        </w:r>
      </w:hyperlink>
    </w:p>
    <w:p>
      <w:pPr>
        <w:pStyle w:val="ListBullet"/>
      </w:pPr>
      <w:hyperlink r:id="rId13">
        <w:r>
          <w:rPr>
            <w:color w:val="245B43"/>
            <w:u w:val="single"/>
          </w:rPr>
          <w:t>US Forest Service  Saguaro species review</w:t>
        </w:r>
      </w:hyperlink>
    </w:p>
    <w:p>
      <w:pPr>
        <w:pStyle w:val="ListBullet"/>
      </w:pPr>
      <w:hyperlink r:id="rId14">
        <w:r>
          <w:rPr>
            <w:color w:val="245B43"/>
            <w:u w:val="single"/>
          </w:rPr>
          <w:t>NC State Extension  Opuntia humifusa</w:t>
        </w:r>
      </w:hyperlink>
    </w:p>
    <w:p>
      <w:pPr>
        <w:pStyle w:val="ListBullet"/>
      </w:pPr>
      <w:hyperlink r:id="rId15">
        <w:r>
          <w:rPr>
            <w:color w:val="245B43"/>
            <w:u w:val="single"/>
          </w:rPr>
          <w:t>Wikimedia Commons  Barrel cactus roots</w:t>
        </w:r>
      </w:hyperlink>
    </w:p>
    <w:p>
      <w:pPr>
        <w:pStyle w:val="ListBullet"/>
      </w:pPr>
      <w:hyperlink r:id="rId16">
        <w:r>
          <w:rPr>
            <w:color w:val="245B43"/>
            <w:u w:val="single"/>
          </w:rPr>
          <w:t>Wikimedia Commons  Lithops repotting</w:t>
        </w:r>
      </w:hyperlink>
    </w:p>
    <w:p>
      <w:pPr>
        <w:pStyle w:val="ListBullet"/>
      </w:pPr>
      <w:hyperlink r:id="rId17">
        <w:r>
          <w:rPr>
            <w:color w:val="245B43"/>
            <w:u w:val="single"/>
          </w:rPr>
          <w:t>Wikimedia Commons  Lithops roots</w:t>
        </w:r>
      </w:hyperlink>
    </w:p>
    <w:p>
      <w:pPr>
        <w:pStyle w:val="ListBullet"/>
      </w:pPr>
      <w:hyperlink r:id="rId18">
        <w:r>
          <w:rPr>
            <w:color w:val="245B43"/>
            <w:u w:val="single"/>
          </w:rPr>
          <w:t>Wikimedia Commons  Ceropegia woodii tubers</w:t>
        </w:r>
      </w:hyperlink>
    </w:p>
    <w:p>
      <w:r>
        <w:rPr>
          <w:b w:val="0"/>
          <w:i w:val="0"/>
        </w:rPr>
        <w:t xml:space="preserve">Added September 22, 2026 · </w:t>
      </w:r>
      <w:hyperlink r:id="rId19">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cactus-and-succulent-root-systems/" TargetMode="External"/><Relationship Id="rId12" Type="http://schemas.openxmlformats.org/officeDocument/2006/relationships/hyperlink" Target="https://ucanr.edu/blog/real-dirt/article/cacti-landscape-plants" TargetMode="External"/><Relationship Id="rId13" Type="http://schemas.openxmlformats.org/officeDocument/2006/relationships/hyperlink" Target="https://research.fs.usda.gov/feis/species-reviews/cargig" TargetMode="External"/><Relationship Id="rId14" Type="http://schemas.openxmlformats.org/officeDocument/2006/relationships/hyperlink" Target="https://plants.ces.ncsu.edu/plants/opuntia-humifusa/" TargetMode="External"/><Relationship Id="rId15" Type="http://schemas.openxmlformats.org/officeDocument/2006/relationships/hyperlink" Target="https://commons.wikimedia.org/wiki/File:Barrel_(3)_(50618914132).jpg" TargetMode="External"/><Relationship Id="rId16" Type="http://schemas.openxmlformats.org/officeDocument/2006/relationships/hyperlink" Target="https://commons.wikimedia.org/wiki/File:Lithops_Repotting_-_Jan._2009_-_(1).jpg" TargetMode="External"/><Relationship Id="rId17" Type="http://schemas.openxmlformats.org/officeDocument/2006/relationships/hyperlink" Target="https://commons.wikimedia.org/wiki/File:Lithops_Quarantine_-_Oct._2009.jpg" TargetMode="External"/><Relationship Id="rId18" Type="http://schemas.openxmlformats.org/officeDocument/2006/relationships/hyperlink" Target="https://commons.wikimedia.org/wiki/File:Ceropegia_woodii_-_Tubers.JPG" TargetMode="External"/><Relationship Id="rId19" Type="http://schemas.openxmlformats.org/officeDocument/2006/relationships/hyperlink" Target="https://planteducationproject.com/information-sheets/master-index/" TargetMode="External"/><Relationship Id="rId20"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cactus and succulent root systems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