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Animal Evolution Timeline</w:t>
      </w:r>
    </w:p>
    <w:p>
      <w:pPr>
        <w:spacing w:after="320"/>
      </w:pPr>
      <w:r>
        <w:t>Combined Information Sheets</w:t>
      </w:r>
    </w:p>
    <w:p>
      <w:pPr>
        <w:pStyle w:val="Heading1"/>
      </w:pPr>
      <w:r>
        <w:t>Animal Evolution Timeline</w:t>
      </w:r>
    </w:p>
    <w:p>
      <w:r>
        <w:rPr>
          <w:b/>
        </w:rPr>
        <w:t xml:space="preserve">Online Information Sheet: </w:t>
      </w:r>
      <w:hyperlink r:id="rId11">
        <w:r>
          <w:rPr>
            <w:color w:val="245B43"/>
            <w:u w:val="single"/>
          </w:rPr>
          <w:t>planteducationproject.com/learn/animal-evolution-timeline/</w:t>
        </w:r>
      </w:hyperlink>
    </w:p>
    <w:p>
      <w:r>
        <w:rPr>
          <w:b w:val="0"/>
          <w:i w:val="0"/>
        </w:rPr>
        <w:t>🌿 Information Sheet</w:t>
      </w:r>
    </w:p>
    <w:p>
      <w:r>
        <w:rPr>
          <w:b w:val="0"/>
          <w:i w:val="0"/>
        </w:rPr>
        <w:t>Animals evolved through branching lineages shaped by inherited variation, selection, drift, and environmental change. This overview places major transitions in time while separating fossil evidence from estimates of when lineages first diverged.</w:t>
      </w:r>
    </w:p>
    <w:p>
      <w:pPr>
        <w:pStyle w:val="Heading2"/>
      </w:pPr>
      <w:r>
        <w:t>The record has unequal resolution</w:t>
      </w:r>
    </w:p>
    <w:p>
      <w:r>
        <w:rPr>
          <w:b w:val="0"/>
          <w:i w:val="0"/>
        </w:rPr>
        <w:t>Soft bodies fossilize less readily than shells, bones, and teeth. The first fossil found is therefore not necessarily the first member of a group. Ma means million years ago; dates below are approximate teaching ranges. Events overlap, and surviving groups continued evolving after their initial appearance.</w:t>
      </w:r>
    </w:p>
    <w:p>
      <w:pPr>
        <w:pStyle w:val="Heading2"/>
      </w:pPr>
      <w:r>
        <w:t>Major transitions through deep time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Approximate interval</w:t>
            </w:r>
          </w:p>
        </w:tc>
        <w:tc>
          <w:tcPr>
            <w:tcW w:type="dxa" w:w="3389"/>
            <w:vAlign w:val="center"/>
            <w:shd w:fill="E9EDF0"/>
          </w:tcPr>
          <w:p>
            <w:pPr>
              <w:spacing w:after="60"/>
            </w:pPr>
            <w:r>
              <w:rPr>
                <w:b/>
                <w:i w:val="0"/>
                <w:sz w:val="22"/>
              </w:rPr>
              <w:t>Transition</w:t>
            </w:r>
          </w:p>
        </w:tc>
        <w:tc>
          <w:tcPr>
            <w:tcW w:type="dxa" w:w="3389"/>
            <w:vAlign w:val="center"/>
            <w:shd w:fill="E9EDF0"/>
          </w:tcPr>
          <w:p>
            <w:pPr>
              <w:spacing w:after="60"/>
            </w:pPr>
            <w:r>
              <w:rPr>
                <w:b/>
                <w:i w:val="0"/>
                <w:sz w:val="22"/>
              </w:rPr>
              <w:t>Interpretation</w:t>
            </w:r>
          </w:p>
        </w:tc>
      </w:tr>
      <w:tr>
        <w:trPr>
          <w:cantSplit/>
        </w:trPr>
        <w:tc>
          <w:tcPr>
            <w:tcW w:type="dxa" w:w="3389"/>
            <w:vAlign w:val="center"/>
            <w:shd w:fill="FFFFFF"/>
          </w:tcPr>
          <w:p>
            <w:pPr>
              <w:spacing w:after="60"/>
            </w:pPr>
            <w:r>
              <w:rPr>
                <w:b/>
                <w:i w:val="0"/>
                <w:sz w:val="22"/>
              </w:rPr>
              <w:t>Before 635 Ma</w:t>
            </w:r>
          </w:p>
        </w:tc>
        <w:tc>
          <w:tcPr>
            <w:tcW w:type="dxa" w:w="3389"/>
            <w:vAlign w:val="center"/>
            <w:shd w:fill="FFFFFF"/>
          </w:tcPr>
          <w:p>
            <w:pPr>
              <w:spacing w:after="60"/>
            </w:pPr>
            <w:r>
              <w:rPr>
                <w:b w:val="0"/>
                <w:i w:val="0"/>
                <w:sz w:val="22"/>
              </w:rPr>
              <w:t>Molecular evidence places early animal divergences before many clear fossils.</w:t>
            </w:r>
          </w:p>
        </w:tc>
        <w:tc>
          <w:tcPr>
            <w:tcW w:type="dxa" w:w="3389"/>
            <w:vAlign w:val="center"/>
            <w:shd w:fill="FFFFFF"/>
          </w:tcPr>
          <w:p>
            <w:pPr>
              <w:spacing w:after="60"/>
            </w:pPr>
            <w:r>
              <w:rPr>
                <w:b w:val="0"/>
                <w:i w:val="0"/>
                <w:sz w:val="22"/>
              </w:rPr>
              <w:t>Exact origins remain debated; do not equate a molecular estimate with a diagnostic fossil.</w:t>
            </w:r>
          </w:p>
        </w:tc>
      </w:tr>
      <w:tr>
        <w:trPr>
          <w:cantSplit/>
        </w:trPr>
        <w:tc>
          <w:tcPr>
            <w:tcW w:type="dxa" w:w="3389"/>
            <w:vAlign w:val="center"/>
            <w:shd w:fill="FFFFFF"/>
          </w:tcPr>
          <w:p>
            <w:pPr>
              <w:spacing w:after="60"/>
            </w:pPr>
            <w:r>
              <w:rPr>
                <w:b/>
                <w:i w:val="0"/>
                <w:sz w:val="22"/>
              </w:rPr>
              <w:t>635–539 Ma</w:t>
            </w:r>
          </w:p>
        </w:tc>
        <w:tc>
          <w:tcPr>
            <w:tcW w:type="dxa" w:w="3389"/>
            <w:vAlign w:val="center"/>
            <w:shd w:fill="FFFFFF"/>
          </w:tcPr>
          <w:p>
            <w:pPr>
              <w:spacing w:after="60"/>
            </w:pPr>
            <w:r>
              <w:rPr>
                <w:b w:val="0"/>
                <w:i w:val="0"/>
                <w:sz w:val="22"/>
              </w:rPr>
              <w:t>Ediacaran organisms and increasingly clear animal evidence.</w:t>
            </w:r>
          </w:p>
        </w:tc>
        <w:tc>
          <w:tcPr>
            <w:tcW w:type="dxa" w:w="3389"/>
            <w:vAlign w:val="center"/>
            <w:shd w:fill="FFFFFF"/>
          </w:tcPr>
          <w:p>
            <w:pPr>
              <w:spacing w:after="60"/>
            </w:pPr>
            <w:r>
              <w:rPr>
                <w:b w:val="0"/>
                <w:i w:val="0"/>
                <w:sz w:val="22"/>
              </w:rPr>
              <w:t>Some fossils fit living animal groups; others have uncertain relationships.</w:t>
            </w:r>
          </w:p>
        </w:tc>
      </w:tr>
      <w:tr>
        <w:trPr>
          <w:cantSplit/>
        </w:trPr>
        <w:tc>
          <w:tcPr>
            <w:tcW w:type="dxa" w:w="3389"/>
            <w:vAlign w:val="center"/>
            <w:shd w:fill="FFFFFF"/>
          </w:tcPr>
          <w:p>
            <w:pPr>
              <w:spacing w:after="60"/>
            </w:pPr>
            <w:r>
              <w:rPr>
                <w:b/>
                <w:i w:val="0"/>
                <w:sz w:val="22"/>
              </w:rPr>
              <w:t>539–485 Ma</w:t>
            </w:r>
          </w:p>
        </w:tc>
        <w:tc>
          <w:tcPr>
            <w:tcW w:type="dxa" w:w="3389"/>
            <w:vAlign w:val="center"/>
            <w:shd w:fill="FFFFFF"/>
          </w:tcPr>
          <w:p>
            <w:pPr>
              <w:spacing w:after="60"/>
            </w:pPr>
            <w:r>
              <w:rPr>
                <w:b w:val="0"/>
                <w:i w:val="0"/>
                <w:sz w:val="22"/>
              </w:rPr>
              <w:t>Cambrian diversification and abundant mineralized skeletons.</w:t>
            </w:r>
          </w:p>
        </w:tc>
        <w:tc>
          <w:tcPr>
            <w:tcW w:type="dxa" w:w="3389"/>
            <w:vAlign w:val="center"/>
            <w:shd w:fill="FFFFFF"/>
          </w:tcPr>
          <w:p>
            <w:pPr>
              <w:spacing w:after="60"/>
            </w:pPr>
            <w:r>
              <w:rPr>
                <w:b w:val="0"/>
                <w:i w:val="0"/>
                <w:sz w:val="22"/>
              </w:rPr>
              <w:t>Many animal body plans become conspicuous in the fossil record; evolution did not occur in one instant.</w:t>
            </w:r>
          </w:p>
        </w:tc>
      </w:tr>
      <w:tr>
        <w:trPr>
          <w:cantSplit/>
        </w:trPr>
        <w:tc>
          <w:tcPr>
            <w:tcW w:type="dxa" w:w="3389"/>
            <w:vAlign w:val="center"/>
            <w:shd w:fill="FFFFFF"/>
          </w:tcPr>
          <w:p>
            <w:pPr>
              <w:spacing w:after="60"/>
            </w:pPr>
            <w:r>
              <w:rPr>
                <w:b/>
                <w:i w:val="0"/>
                <w:sz w:val="22"/>
              </w:rPr>
              <w:t>About 470–400 Ma</w:t>
            </w:r>
          </w:p>
        </w:tc>
        <w:tc>
          <w:tcPr>
            <w:tcW w:type="dxa" w:w="3389"/>
            <w:vAlign w:val="center"/>
            <w:shd w:fill="FFFFFF"/>
          </w:tcPr>
          <w:p>
            <w:pPr>
              <w:spacing w:after="60"/>
            </w:pPr>
            <w:r>
              <w:rPr>
                <w:b w:val="0"/>
                <w:i w:val="0"/>
                <w:sz w:val="22"/>
              </w:rPr>
              <w:t>Arthropods and other invertebrates colonize land.</w:t>
            </w:r>
          </w:p>
        </w:tc>
        <w:tc>
          <w:tcPr>
            <w:tcW w:type="dxa" w:w="3389"/>
            <w:vAlign w:val="center"/>
            <w:shd w:fill="FFFFFF"/>
          </w:tcPr>
          <w:p>
            <w:pPr>
              <w:spacing w:after="60"/>
            </w:pPr>
            <w:r>
              <w:rPr>
                <w:b w:val="0"/>
                <w:i w:val="0"/>
                <w:sz w:val="22"/>
              </w:rPr>
              <w:t>Air breathing, support, water balance, and reproduction create new constraints.</w:t>
            </w:r>
          </w:p>
        </w:tc>
      </w:tr>
      <w:tr>
        <w:trPr>
          <w:cantSplit/>
        </w:trPr>
        <w:tc>
          <w:tcPr>
            <w:tcW w:type="dxa" w:w="3389"/>
            <w:vAlign w:val="center"/>
            <w:shd w:fill="FFFFFF"/>
          </w:tcPr>
          <w:p>
            <w:pPr>
              <w:spacing w:after="60"/>
            </w:pPr>
            <w:r>
              <w:rPr>
                <w:b/>
                <w:i w:val="0"/>
                <w:sz w:val="22"/>
              </w:rPr>
              <w:t>About 375–360 Ma</w:t>
            </w:r>
          </w:p>
        </w:tc>
        <w:tc>
          <w:tcPr>
            <w:tcW w:type="dxa" w:w="3389"/>
            <w:vAlign w:val="center"/>
            <w:shd w:fill="FFFFFF"/>
          </w:tcPr>
          <w:p>
            <w:pPr>
              <w:spacing w:after="60"/>
            </w:pPr>
            <w:r>
              <w:rPr>
                <w:b w:val="0"/>
                <w:i w:val="0"/>
                <w:sz w:val="22"/>
              </w:rPr>
              <w:t>Early tetrapods emerge from lobe-finned vertebrate ancestry.</w:t>
            </w:r>
          </w:p>
        </w:tc>
        <w:tc>
          <w:tcPr>
            <w:tcW w:type="dxa" w:w="3389"/>
            <w:vAlign w:val="center"/>
            <w:shd w:fill="FFFFFF"/>
          </w:tcPr>
          <w:p>
            <w:pPr>
              <w:spacing w:after="60"/>
            </w:pPr>
            <w:r>
              <w:rPr>
                <w:b w:val="0"/>
                <w:i w:val="0"/>
                <w:sz w:val="22"/>
              </w:rPr>
              <w:t>Limbs evolved in an aquatic-to-terrestrial transition; modern fish are not unfinished tetrapods.</w:t>
            </w:r>
          </w:p>
        </w:tc>
      </w:tr>
      <w:tr>
        <w:trPr>
          <w:cantSplit/>
        </w:trPr>
        <w:tc>
          <w:tcPr>
            <w:tcW w:type="dxa" w:w="3389"/>
            <w:vAlign w:val="center"/>
            <w:shd w:fill="FFFFFF"/>
          </w:tcPr>
          <w:p>
            <w:pPr>
              <w:spacing w:after="60"/>
            </w:pPr>
            <w:r>
              <w:rPr>
                <w:b/>
                <w:i w:val="0"/>
                <w:sz w:val="22"/>
              </w:rPr>
              <w:t>About 320 Ma</w:t>
            </w:r>
          </w:p>
        </w:tc>
        <w:tc>
          <w:tcPr>
            <w:tcW w:type="dxa" w:w="3389"/>
            <w:vAlign w:val="center"/>
            <w:shd w:fill="FFFFFF"/>
          </w:tcPr>
          <w:p>
            <w:pPr>
              <w:spacing w:after="60"/>
            </w:pPr>
            <w:r>
              <w:rPr>
                <w:b w:val="0"/>
                <w:i w:val="0"/>
                <w:sz w:val="22"/>
              </w:rPr>
              <w:t>Early amniotes.</w:t>
            </w:r>
          </w:p>
        </w:tc>
        <w:tc>
          <w:tcPr>
            <w:tcW w:type="dxa" w:w="3389"/>
            <w:vAlign w:val="center"/>
            <w:shd w:fill="FFFFFF"/>
          </w:tcPr>
          <w:p>
            <w:pPr>
              <w:spacing w:after="60"/>
            </w:pPr>
            <w:r>
              <w:rPr>
                <w:b w:val="0"/>
                <w:i w:val="0"/>
                <w:sz w:val="22"/>
              </w:rPr>
              <w:t>Embryonic membranes support reproduction away from open water.</w:t>
            </w:r>
          </w:p>
        </w:tc>
      </w:tr>
      <w:tr>
        <w:trPr>
          <w:cantSplit/>
        </w:trPr>
        <w:tc>
          <w:tcPr>
            <w:tcW w:type="dxa" w:w="3389"/>
            <w:vAlign w:val="center"/>
            <w:shd w:fill="FFFFFF"/>
          </w:tcPr>
          <w:p>
            <w:pPr>
              <w:spacing w:after="60"/>
            </w:pPr>
            <w:r>
              <w:rPr>
                <w:b/>
                <w:i w:val="0"/>
                <w:sz w:val="22"/>
              </w:rPr>
              <w:t>About 230–150 Ma</w:t>
            </w:r>
          </w:p>
        </w:tc>
        <w:tc>
          <w:tcPr>
            <w:tcW w:type="dxa" w:w="3389"/>
            <w:vAlign w:val="center"/>
            <w:shd w:fill="FFFFFF"/>
          </w:tcPr>
          <w:p>
            <w:pPr>
              <w:spacing w:after="60"/>
            </w:pPr>
            <w:r>
              <w:rPr>
                <w:b w:val="0"/>
                <w:i w:val="0"/>
                <w:sz w:val="22"/>
              </w:rPr>
              <w:t>Dinosaurs, early mammals, and birds appear in different branches.</w:t>
            </w:r>
          </w:p>
        </w:tc>
        <w:tc>
          <w:tcPr>
            <w:tcW w:type="dxa" w:w="3389"/>
            <w:vAlign w:val="center"/>
            <w:shd w:fill="FFFFFF"/>
          </w:tcPr>
          <w:p>
            <w:pPr>
              <w:spacing w:after="60"/>
            </w:pPr>
            <w:r>
              <w:rPr>
                <w:b w:val="0"/>
                <w:i w:val="0"/>
                <w:sz w:val="22"/>
              </w:rPr>
              <w:t>Birds are living theropod dinosaurs; mammals and dinosaurs coexisted.</w:t>
            </w:r>
          </w:p>
        </w:tc>
      </w:tr>
      <w:tr>
        <w:trPr>
          <w:cantSplit/>
        </w:trPr>
        <w:tc>
          <w:tcPr>
            <w:tcW w:type="dxa" w:w="3389"/>
            <w:vAlign w:val="center"/>
            <w:shd w:fill="FFFFFF"/>
          </w:tcPr>
          <w:p>
            <w:pPr>
              <w:spacing w:after="60"/>
            </w:pPr>
            <w:r>
              <w:rPr>
                <w:b/>
                <w:i w:val="0"/>
                <w:sz w:val="22"/>
              </w:rPr>
              <w:t>66 Ma</w:t>
            </w:r>
          </w:p>
        </w:tc>
        <w:tc>
          <w:tcPr>
            <w:tcW w:type="dxa" w:w="3389"/>
            <w:vAlign w:val="center"/>
            <w:shd w:fill="FFFFFF"/>
          </w:tcPr>
          <w:p>
            <w:pPr>
              <w:spacing w:after="60"/>
            </w:pPr>
            <w:r>
              <w:rPr>
                <w:b w:val="0"/>
                <w:i w:val="0"/>
                <w:sz w:val="22"/>
              </w:rPr>
              <w:t>End-Cretaceous mass extinction.</w:t>
            </w:r>
          </w:p>
        </w:tc>
        <w:tc>
          <w:tcPr>
            <w:tcW w:type="dxa" w:w="3389"/>
            <w:vAlign w:val="center"/>
            <w:shd w:fill="FFFFFF"/>
          </w:tcPr>
          <w:p>
            <w:pPr>
              <w:spacing w:after="60"/>
            </w:pPr>
            <w:r>
              <w:rPr>
                <w:b w:val="0"/>
                <w:i w:val="0"/>
                <w:sz w:val="22"/>
              </w:rPr>
              <w:t>Non-avian dinosaurs and many other groups disappear; surviving lineages diversify.</w:t>
            </w:r>
          </w:p>
        </w:tc>
      </w:tr>
      <w:tr>
        <w:trPr>
          <w:cantSplit/>
        </w:trPr>
        <w:tc>
          <w:tcPr>
            <w:tcW w:type="dxa" w:w="3389"/>
            <w:vAlign w:val="center"/>
            <w:shd w:fill="FFFFFF"/>
          </w:tcPr>
          <w:p>
            <w:pPr>
              <w:spacing w:after="60"/>
            </w:pPr>
            <w:r>
              <w:rPr>
                <w:b/>
                <w:i w:val="0"/>
                <w:sz w:val="22"/>
              </w:rPr>
              <w:t>About 7 Ma to present</w:t>
            </w:r>
          </w:p>
        </w:tc>
        <w:tc>
          <w:tcPr>
            <w:tcW w:type="dxa" w:w="3389"/>
            <w:vAlign w:val="center"/>
            <w:shd w:fill="FFFFFF"/>
          </w:tcPr>
          <w:p>
            <w:pPr>
              <w:spacing w:after="60"/>
            </w:pPr>
            <w:r>
              <w:rPr>
                <w:b w:val="0"/>
                <w:i w:val="0"/>
                <w:sz w:val="22"/>
              </w:rPr>
              <w:t>Hominin evolution within primates.</w:t>
            </w:r>
          </w:p>
        </w:tc>
        <w:tc>
          <w:tcPr>
            <w:tcW w:type="dxa" w:w="3389"/>
            <w:vAlign w:val="center"/>
            <w:shd w:fill="FFFFFF"/>
          </w:tcPr>
          <w:p>
            <w:pPr>
              <w:spacing w:after="60"/>
            </w:pPr>
            <w:r>
              <w:rPr>
                <w:b w:val="0"/>
                <w:i w:val="0"/>
                <w:sz w:val="22"/>
              </w:rPr>
              <w:t>Homo sapiens appears about 300,000 years ago; humans share ancestors with other apes.</w:t>
            </w:r>
          </w:p>
        </w:tc>
      </w:tr>
    </w:tbl>
    <w:p>
      <w:pPr>
        <w:spacing w:after="20"/>
      </w:pPr>
    </w:p>
    <w:p>
      <w:pPr>
        <w:pStyle w:val="Heading2"/>
      </w:pPr>
      <w:r>
        <w:t>Body plans reveal shared ancestry</w:t>
      </w:r>
    </w:p>
    <w:p>
      <w:r>
        <w:rPr>
          <w:b w:val="0"/>
          <w:i w:val="0"/>
        </w:rPr>
        <w:t>Useful comparisons include symmetry, tissue layers, body cavities, segmentation, appendages, and embryonic development. Similar-looking structures can be homologous through shared ancestry or analogous through independent evolution. Wings of birds and insects perform a similar function but arose in very different anatomical systems.</w:t>
      </w:r>
    </w:p>
    <w:p>
      <w:r>
        <w:rPr>
          <w:b w:val="0"/>
          <w:i w:val="0"/>
        </w:rPr>
        <w:t>Molecular evidence often revises classifications based on appearance alone. A phylogenetic tree is a testable hypothesis about relationships, not a ranking of intelligence, complexity, or worth.</w:t>
      </w:r>
    </w:p>
    <w:p>
      <w:pPr>
        <w:pStyle w:val="Heading2"/>
      </w:pPr>
      <w:r>
        <w:t>Mass extinctions changed the available opportunities</w:t>
      </w:r>
    </w:p>
    <w:p>
      <w:r>
        <w:rPr>
          <w:b w:val="0"/>
          <w:i w:val="0"/>
        </w:rPr>
        <w:t>Extinction removes lineages; diversification produces new ones within survivors. Neither process has a predetermined goal. Major ecological changes can occur through altered abundance and interactions even before a conspicuous new body form evolves.</w:t>
      </w:r>
    </w:p>
    <w:p>
      <w:r>
        <w:rPr>
          <w:b w:val="0"/>
          <w:i w:val="0"/>
        </w:rPr>
        <w:t>For ecology, evolutionary history helps explain feeding strategies, dispersal limits, thermal physiology, and disease susceptibility. Combine that history with present habitat and measured traits when predicting how a species will respond to change.</w:t>
      </w:r>
    </w:p>
    <w:p>
      <w:pPr>
        <w:pStyle w:val="Heading2"/>
      </w:pPr>
      <w:r>
        <w:t>Related Information Sheets</w:t>
      </w:r>
    </w:p>
    <w:p>
      <w:hyperlink r:id="rId12">
        <w:r>
          <w:rPr>
            <w:color w:val="245B43"/>
            <w:u w:val="single"/>
          </w:rPr>
          <w:t>Botany Information Sheet - Plant Evolution Timeline</w:t>
        </w:r>
      </w:hyperlink>
    </w:p>
    <w:p>
      <w:hyperlink r:id="rId13">
        <w:r>
          <w:rPr>
            <w:color w:val="245B43"/>
            <w:u w:val="single"/>
          </w:rPr>
          <w:t>Biology Information Sheet - Advanced Biology Overview</w:t>
        </w:r>
      </w:hyperlink>
    </w:p>
    <w:p>
      <w:pPr>
        <w:pStyle w:val="Heading2"/>
      </w:pPr>
      <w:r>
        <w:t>Sources and further reading</w:t>
      </w:r>
    </w:p>
    <w:p>
      <w:hyperlink r:id="rId14">
        <w:r>
          <w:rPr>
            <w:color w:val="245B43"/>
            <w:u w:val="single"/>
          </w:rPr>
          <w:t>OpenStax Biology 2e section 27.4 Evolutionary History of the Animal Kingdom</w:t>
        </w:r>
      </w:hyperlink>
    </w:p>
    <w:p>
      <w:hyperlink r:id="rId15">
        <w:r>
          <w:rPr>
            <w:color w:val="245B43"/>
            <w:u w:val="single"/>
          </w:rPr>
          <w:t>OpenStax Biology 2e chapter 29 Vertebrates</w:t>
        </w:r>
      </w:hyperlink>
    </w:p>
    <w:p>
      <w:hyperlink r:id="rId16">
        <w:r>
          <w:rPr>
            <w:color w:val="245B43"/>
            <w:u w:val="single"/>
          </w:rPr>
          <w:t>Smithsonian Human Origins evidence</w:t>
        </w:r>
      </w:hyperlink>
    </w:p>
    <w:p>
      <w:hyperlink r:id="rId17">
        <w:r>
          <w:rPr>
            <w:color w:val="245B43"/>
            <w:u w:val="single"/>
          </w:rPr>
          <w:t>International Commission on Stratigraphy chart</w:t>
        </w:r>
      </w:hyperlink>
    </w:p>
    <w:p>
      <w:r>
        <w:rPr>
          <w:b w:val="0"/>
          <w:i w:val="0"/>
        </w:rPr>
        <w:t xml:space="preserve">Added September 22, 2026 · </w:t>
      </w:r>
      <w:hyperlink r:id="rId18">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9">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animal-evolution-timeline/" TargetMode="External"/><Relationship Id="rId12" Type="http://schemas.openxmlformats.org/officeDocument/2006/relationships/hyperlink" Target="https://planteducationproject.com/learn/plant-evolution-timeline/" TargetMode="External"/><Relationship Id="rId13" Type="http://schemas.openxmlformats.org/officeDocument/2006/relationships/hyperlink" Target="https://planteducationproject.com/learn/advanced-biology-overview/" TargetMode="External"/><Relationship Id="rId14" Type="http://schemas.openxmlformats.org/officeDocument/2006/relationships/hyperlink" Target="https://openstax.org/books/biology-2e/pages/27-4-the-evolutionary-history-of-the-animal-kingdom" TargetMode="External"/><Relationship Id="rId15" Type="http://schemas.openxmlformats.org/officeDocument/2006/relationships/hyperlink" Target="https://openstax.org/books/biology-2e/pages/29-introduction" TargetMode="External"/><Relationship Id="rId16" Type="http://schemas.openxmlformats.org/officeDocument/2006/relationships/hyperlink" Target="https://humanorigins.si.edu/evidence" TargetMode="External"/><Relationship Id="rId17" Type="http://schemas.openxmlformats.org/officeDocument/2006/relationships/hyperlink" Target="https://stratigraphy.org/chart" TargetMode="External"/><Relationship Id="rId18" Type="http://schemas.openxmlformats.org/officeDocument/2006/relationships/hyperlink" Target="https://planteducationproject.com/information-sheets/master-index/" TargetMode="External"/><Relationship Id="rId19"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animal evolution timeline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