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Seed Germination Protocols</w:t>
      </w:r>
    </w:p>
    <w:p>
      <w:pPr>
        <w:spacing w:after="320"/>
      </w:pPr>
      <w:r>
        <w:t>Combined Information Sheets</w:t>
      </w:r>
    </w:p>
    <w:p>
      <w:pPr>
        <w:pStyle w:val="Heading1"/>
      </w:pPr>
      <w:r>
        <w:t>Seed Germination Protocols</w:t>
      </w:r>
    </w:p>
    <w:p>
      <w:r>
        <w:rPr>
          <w:b/>
        </w:rPr>
        <w:t xml:space="preserve">Online Information Sheet: </w:t>
      </w:r>
      <w:hyperlink r:id="rId11">
        <w:r>
          <w:rPr>
            <w:color w:val="245B43"/>
            <w:u w:val="single"/>
          </w:rPr>
          <w:t>planteducationproject.com/guides/seed-germination-protocols/</w:t>
        </w:r>
      </w:hyperlink>
    </w:p>
    <w:p>
      <w:r>
        <w:rPr>
          <w:b w:val="0"/>
          <w:i w:val="0"/>
        </w:rPr>
        <w:t>🌿 Information Sheet</w:t>
      </w:r>
    </w:p>
    <w:p>
      <w:pPr>
        <w:pStyle w:val="Heading2"/>
      </w:pPr>
      <w:r>
        <w:t>Purpose</w:t>
      </w:r>
    </w:p>
    <w:p>
      <w:r>
        <w:rPr>
          <w:b w:val="0"/>
          <w:i w:val="0"/>
        </w:rPr>
        <w:t>Use this protocol as the starting point for germinating most garden, houseplant, native-plant, and research seeds. Species requirements override this general procedure. Record the seed source, pretreatment, temperature, light, and outcome so the method can be repeated.</w:t>
      </w:r>
    </w:p>
    <w:p>
      <w:pPr>
        <w:pStyle w:val="Heading2"/>
      </w:pPr>
      <w:r>
        <w:t>Essential Conditions</w:t>
      </w:r>
    </w:p>
    <w:tbl>
      <w:tblPr>
        <w:tblW w:type="auto" w:w="0"/>
        <w:jc w:val="center"/>
        <w:tblLayout w:type="autofit"/>
        <w:tblLook w:firstColumn="1" w:firstRow="1" w:lastColumn="0" w:lastRow="0" w:noHBand="0" w:noVBand="1" w:val="04A0"/>
      </w:tblPr>
      <w:tblGrid>
        <w:gridCol w:w="3389"/>
        <w:gridCol w:w="3389"/>
        <w:gridCol w:w="3389"/>
      </w:tblGrid>
      <w:tr>
        <w:trPr>
          <w:cantSplit/>
          <w:tblHeader w:val="true"/>
        </w:trPr>
        <w:tc>
          <w:tcPr>
            <w:tcW w:type="dxa" w:w="3389"/>
            <w:vAlign w:val="center"/>
            <w:shd w:fill="E9EDF0"/>
          </w:tcPr>
          <w:p>
            <w:pPr>
              <w:spacing w:after="60"/>
            </w:pPr>
            <w:r>
              <w:rPr>
                <w:b/>
                <w:i/>
                <w:sz w:val="22"/>
              </w:rPr>
              <w:t>Factor</w:t>
            </w:r>
          </w:p>
        </w:tc>
        <w:tc>
          <w:tcPr>
            <w:tcW w:type="dxa" w:w="3389"/>
            <w:vAlign w:val="center"/>
            <w:shd w:fill="E9EDF0"/>
          </w:tcPr>
          <w:p>
            <w:pPr>
              <w:spacing w:after="60"/>
            </w:pPr>
            <w:r>
              <w:rPr>
                <w:b/>
                <w:i/>
                <w:sz w:val="22"/>
              </w:rPr>
              <w:t>Working target</w:t>
            </w:r>
          </w:p>
        </w:tc>
        <w:tc>
          <w:tcPr>
            <w:tcW w:type="dxa" w:w="3389"/>
            <w:vAlign w:val="center"/>
            <w:shd w:fill="E9EDF0"/>
          </w:tcPr>
          <w:p>
            <w:pPr>
              <w:spacing w:after="60"/>
            </w:pPr>
            <w:r>
              <w:rPr>
                <w:b/>
                <w:i/>
                <w:sz w:val="22"/>
              </w:rPr>
              <w:t>Why it matters</w:t>
            </w:r>
          </w:p>
        </w:tc>
      </w:tr>
      <w:tr>
        <w:trPr>
          <w:cantSplit/>
        </w:trPr>
        <w:tc>
          <w:tcPr>
            <w:tcW w:type="dxa" w:w="3389"/>
            <w:vAlign w:val="center"/>
            <w:shd w:fill="FFFFFF"/>
          </w:tcPr>
          <w:p>
            <w:pPr>
              <w:spacing w:after="60"/>
            </w:pPr>
            <w:r>
              <w:rPr>
                <w:b/>
                <w:i/>
                <w:sz w:val="22"/>
              </w:rPr>
              <w:t>Water</w:t>
            </w:r>
          </w:p>
        </w:tc>
        <w:tc>
          <w:tcPr>
            <w:tcW w:type="dxa" w:w="3389"/>
            <w:vAlign w:val="center"/>
            <w:shd w:fill="FFFFFF"/>
          </w:tcPr>
          <w:p>
            <w:pPr>
              <w:spacing w:after="60"/>
            </w:pPr>
            <w:r>
              <w:rPr>
                <w:b w:val="0"/>
                <w:i/>
                <w:sz w:val="22"/>
              </w:rPr>
              <w:t>Evenly moist; never waterlogged</w:t>
            </w:r>
          </w:p>
        </w:tc>
        <w:tc>
          <w:tcPr>
            <w:tcW w:type="dxa" w:w="3389"/>
            <w:vAlign w:val="center"/>
            <w:shd w:fill="FFFFFF"/>
          </w:tcPr>
          <w:p>
            <w:pPr>
              <w:spacing w:after="60"/>
            </w:pPr>
            <w:r>
              <w:rPr>
                <w:b w:val="0"/>
                <w:i/>
                <w:sz w:val="22"/>
              </w:rPr>
              <w:t>Starts imbibition and metabolism, but saturation excludes oxygen.</w:t>
            </w:r>
          </w:p>
        </w:tc>
      </w:tr>
      <w:tr>
        <w:trPr>
          <w:cantSplit/>
        </w:trPr>
        <w:tc>
          <w:tcPr>
            <w:tcW w:type="dxa" w:w="3389"/>
            <w:vAlign w:val="center"/>
            <w:shd w:fill="FFFFFF"/>
          </w:tcPr>
          <w:p>
            <w:pPr>
              <w:spacing w:after="60"/>
            </w:pPr>
            <w:r>
              <w:rPr>
                <w:b/>
                <w:i/>
                <w:sz w:val="22"/>
              </w:rPr>
              <w:t>Oxygen</w:t>
            </w:r>
          </w:p>
        </w:tc>
        <w:tc>
          <w:tcPr>
            <w:tcW w:type="dxa" w:w="3389"/>
            <w:vAlign w:val="center"/>
            <w:shd w:fill="FFFFFF"/>
          </w:tcPr>
          <w:p>
            <w:pPr>
              <w:spacing w:after="60"/>
            </w:pPr>
            <w:r>
              <w:rPr>
                <w:b w:val="0"/>
                <w:i/>
                <w:sz w:val="22"/>
              </w:rPr>
              <w:t>Porous medium and drainage</w:t>
            </w:r>
          </w:p>
        </w:tc>
        <w:tc>
          <w:tcPr>
            <w:tcW w:type="dxa" w:w="3389"/>
            <w:vAlign w:val="center"/>
            <w:shd w:fill="FFFFFF"/>
          </w:tcPr>
          <w:p>
            <w:pPr>
              <w:spacing w:after="60"/>
            </w:pPr>
            <w:r>
              <w:rPr>
                <w:b w:val="0"/>
                <w:i/>
                <w:sz w:val="22"/>
              </w:rPr>
              <w:t>Respiring embryos require oxygen.</w:t>
            </w:r>
          </w:p>
        </w:tc>
      </w:tr>
      <w:tr>
        <w:trPr>
          <w:cantSplit/>
        </w:trPr>
        <w:tc>
          <w:tcPr>
            <w:tcW w:type="dxa" w:w="3389"/>
            <w:vAlign w:val="center"/>
            <w:shd w:fill="FFFFFF"/>
          </w:tcPr>
          <w:p>
            <w:pPr>
              <w:spacing w:after="60"/>
            </w:pPr>
            <w:r>
              <w:rPr>
                <w:b/>
                <w:i/>
                <w:sz w:val="22"/>
              </w:rPr>
              <w:t>Temperature</w:t>
            </w:r>
          </w:p>
        </w:tc>
        <w:tc>
          <w:tcPr>
            <w:tcW w:type="dxa" w:w="3389"/>
            <w:vAlign w:val="center"/>
            <w:shd w:fill="FFFFFF"/>
          </w:tcPr>
          <w:p>
            <w:pPr>
              <w:spacing w:after="60"/>
            </w:pPr>
            <w:r>
              <w:rPr>
                <w:b w:val="0"/>
                <w:i/>
                <w:sz w:val="22"/>
              </w:rPr>
              <w:t>Species-specific; commonly 18-24 °C (65-75 °F)</w:t>
            </w:r>
          </w:p>
        </w:tc>
        <w:tc>
          <w:tcPr>
            <w:tcW w:type="dxa" w:w="3389"/>
            <w:vAlign w:val="center"/>
            <w:shd w:fill="FFFFFF"/>
          </w:tcPr>
          <w:p>
            <w:pPr>
              <w:spacing w:after="60"/>
            </w:pPr>
            <w:r>
              <w:rPr>
                <w:b w:val="0"/>
                <w:i/>
                <w:sz w:val="22"/>
              </w:rPr>
              <w:t>Controls enzyme activity and germination rate.</w:t>
            </w:r>
          </w:p>
        </w:tc>
      </w:tr>
      <w:tr>
        <w:trPr>
          <w:cantSplit/>
        </w:trPr>
        <w:tc>
          <w:tcPr>
            <w:tcW w:type="dxa" w:w="3389"/>
            <w:vAlign w:val="center"/>
            <w:shd w:fill="FFFFFF"/>
          </w:tcPr>
          <w:p>
            <w:pPr>
              <w:spacing w:after="60"/>
            </w:pPr>
            <w:r>
              <w:rPr>
                <w:b/>
                <w:i/>
                <w:sz w:val="22"/>
              </w:rPr>
              <w:t>Light</w:t>
            </w:r>
          </w:p>
        </w:tc>
        <w:tc>
          <w:tcPr>
            <w:tcW w:type="dxa" w:w="3389"/>
            <w:vAlign w:val="center"/>
            <w:shd w:fill="FFFFFF"/>
          </w:tcPr>
          <w:p>
            <w:pPr>
              <w:spacing w:after="60"/>
            </w:pPr>
            <w:r>
              <w:rPr>
                <w:b w:val="0"/>
                <w:i/>
                <w:sz w:val="22"/>
              </w:rPr>
              <w:t>Species-specific: light, darkness, or indifferent</w:t>
            </w:r>
          </w:p>
        </w:tc>
        <w:tc>
          <w:tcPr>
            <w:tcW w:type="dxa" w:w="3389"/>
            <w:vAlign w:val="center"/>
            <w:shd w:fill="FFFFFF"/>
          </w:tcPr>
          <w:p>
            <w:pPr>
              <w:spacing w:after="60"/>
            </w:pPr>
            <w:r>
              <w:rPr>
                <w:b w:val="0"/>
                <w:i/>
                <w:sz w:val="22"/>
              </w:rPr>
              <w:t>Some small seeds use light as a surface-position signal.</w:t>
            </w:r>
          </w:p>
        </w:tc>
      </w:tr>
      <w:tr>
        <w:trPr>
          <w:cantSplit/>
        </w:trPr>
        <w:tc>
          <w:tcPr>
            <w:tcW w:type="dxa" w:w="3389"/>
            <w:vAlign w:val="center"/>
            <w:shd w:fill="FFFFFF"/>
          </w:tcPr>
          <w:p>
            <w:pPr>
              <w:spacing w:after="60"/>
            </w:pPr>
            <w:r>
              <w:rPr>
                <w:b/>
                <w:i/>
                <w:sz w:val="22"/>
              </w:rPr>
              <w:t>Time</w:t>
            </w:r>
          </w:p>
        </w:tc>
        <w:tc>
          <w:tcPr>
            <w:tcW w:type="dxa" w:w="3389"/>
            <w:vAlign w:val="center"/>
            <w:shd w:fill="FFFFFF"/>
          </w:tcPr>
          <w:p>
            <w:pPr>
              <w:spacing w:after="60"/>
            </w:pPr>
            <w:r>
              <w:rPr>
                <w:b w:val="0"/>
                <w:i/>
                <w:sz w:val="22"/>
              </w:rPr>
              <w:t>From days to many months</w:t>
            </w:r>
          </w:p>
        </w:tc>
        <w:tc>
          <w:tcPr>
            <w:tcW w:type="dxa" w:w="3389"/>
            <w:vAlign w:val="center"/>
            <w:shd w:fill="FFFFFF"/>
          </w:tcPr>
          <w:p>
            <w:pPr>
              <w:spacing w:after="60"/>
            </w:pPr>
            <w:r>
              <w:rPr>
                <w:b w:val="0"/>
                <w:i/>
                <w:sz w:val="22"/>
              </w:rPr>
              <w:t>Dormancy and seed age can delay emergence.</w:t>
            </w:r>
          </w:p>
        </w:tc>
      </w:tr>
    </w:tbl>
    <w:p>
      <w:pPr>
        <w:spacing w:after="20"/>
      </w:pPr>
    </w:p>
    <w:p>
      <w:pPr>
        <w:pStyle w:val="Heading2"/>
      </w:pPr>
      <w:r>
        <w:t>Materials</w:t>
      </w:r>
    </w:p>
    <w:p>
      <w:pPr>
        <w:pStyle w:val="ListBullet"/>
      </w:pPr>
      <w:r>
        <w:rPr>
          <w:b/>
          <w:i/>
        </w:rPr>
        <w:t>Labeled containers with drainage holes and clean trays</w:t>
      </w:r>
    </w:p>
    <w:p>
      <w:pPr>
        <w:pStyle w:val="ListBullet"/>
      </w:pPr>
      <w:r>
        <w:rPr>
          <w:b/>
          <w:i/>
        </w:rPr>
        <w:t>Fresh sterile or pasteurized seed-starting medium; not ordinary garden soil</w:t>
      </w:r>
    </w:p>
    <w:p>
      <w:pPr>
        <w:pStyle w:val="ListBullet"/>
      </w:pPr>
      <w:r>
        <w:rPr>
          <w:b/>
          <w:i/>
        </w:rPr>
        <w:t>Seeds, distilled or clean low-salt water, and a fine mister or bottom-watering tray</w:t>
      </w:r>
    </w:p>
    <w:p>
      <w:pPr>
        <w:pStyle w:val="ListBullet"/>
      </w:pPr>
      <w:r>
        <w:rPr>
          <w:b/>
          <w:i/>
        </w:rPr>
        <w:t>Clear humidity cover or clean plastic bag; thermometer; optional heat mat and grow light</w:t>
      </w:r>
    </w:p>
    <w:p>
      <w:pPr>
        <w:pStyle w:val="ListBullet"/>
      </w:pPr>
      <w:r>
        <w:rPr>
          <w:b/>
          <w:i/>
        </w:rPr>
        <w:t>Labels and waterproof marker; notebook or germination record</w:t>
      </w:r>
    </w:p>
    <w:p>
      <w:pPr>
        <w:pStyle w:val="ListBullet"/>
      </w:pPr>
      <w:r>
        <w:rPr>
          <w:b/>
          <w:i/>
        </w:rPr>
        <w:t>Clean forceps and scissors; 70% alcohol for tools and work surfaces</w:t>
      </w:r>
    </w:p>
    <w:p>
      <w:pPr>
        <w:pStyle w:val="Heading2"/>
      </w:pPr>
      <w:r>
        <w:t>Choose the Correct Pretreatment</w:t>
      </w:r>
    </w:p>
    <w:tbl>
      <w:tblPr>
        <w:tblW w:type="auto" w:w="0"/>
        <w:jc w:val="center"/>
        <w:tblLayout w:type="autofit"/>
        <w:tblLook w:firstColumn="1" w:firstRow="1" w:lastColumn="0" w:lastRow="0" w:noHBand="0" w:noVBand="1" w:val="04A0"/>
      </w:tblPr>
      <w:tblGrid>
        <w:gridCol w:w="3389"/>
        <w:gridCol w:w="3389"/>
        <w:gridCol w:w="3389"/>
      </w:tblGrid>
      <w:tr>
        <w:trPr>
          <w:cantSplit/>
          <w:tblHeader w:val="true"/>
        </w:trPr>
        <w:tc>
          <w:tcPr>
            <w:tcW w:type="dxa" w:w="3389"/>
            <w:vAlign w:val="center"/>
            <w:shd w:fill="E9EDF0"/>
          </w:tcPr>
          <w:p>
            <w:pPr>
              <w:spacing w:after="60"/>
            </w:pPr>
            <w:r>
              <w:rPr>
                <w:b/>
                <w:i/>
                <w:sz w:val="22"/>
              </w:rPr>
              <w:t>Seed condition</w:t>
            </w:r>
          </w:p>
        </w:tc>
        <w:tc>
          <w:tcPr>
            <w:tcW w:type="dxa" w:w="3389"/>
            <w:vAlign w:val="center"/>
            <w:shd w:fill="E9EDF0"/>
          </w:tcPr>
          <w:p>
            <w:pPr>
              <w:spacing w:after="60"/>
            </w:pPr>
            <w:r>
              <w:rPr>
                <w:b/>
                <w:i/>
                <w:sz w:val="22"/>
              </w:rPr>
              <w:t>Treatment</w:t>
            </w:r>
          </w:p>
        </w:tc>
        <w:tc>
          <w:tcPr>
            <w:tcW w:type="dxa" w:w="3389"/>
            <w:vAlign w:val="center"/>
            <w:shd w:fill="E9EDF0"/>
          </w:tcPr>
          <w:p>
            <w:pPr>
              <w:spacing w:after="60"/>
            </w:pPr>
            <w:r>
              <w:rPr>
                <w:b/>
                <w:i/>
                <w:sz w:val="22"/>
              </w:rPr>
              <w:t>Typical use and caution</w:t>
            </w:r>
          </w:p>
        </w:tc>
      </w:tr>
      <w:tr>
        <w:trPr>
          <w:cantSplit/>
        </w:trPr>
        <w:tc>
          <w:tcPr>
            <w:tcW w:type="dxa" w:w="3389"/>
            <w:vAlign w:val="center"/>
            <w:shd w:fill="FFFFFF"/>
          </w:tcPr>
          <w:p>
            <w:pPr>
              <w:spacing w:after="60"/>
            </w:pPr>
            <w:r>
              <w:rPr>
                <w:b/>
                <w:i/>
                <w:sz w:val="22"/>
              </w:rPr>
              <w:t>No known dormancy</w:t>
            </w:r>
          </w:p>
        </w:tc>
        <w:tc>
          <w:tcPr>
            <w:tcW w:type="dxa" w:w="3389"/>
            <w:vAlign w:val="center"/>
            <w:shd w:fill="FFFFFF"/>
          </w:tcPr>
          <w:p>
            <w:pPr>
              <w:spacing w:after="60"/>
            </w:pPr>
            <w:r>
              <w:rPr>
                <w:b w:val="0"/>
                <w:i/>
                <w:sz w:val="22"/>
              </w:rPr>
              <w:t>Sow directly</w:t>
            </w:r>
          </w:p>
        </w:tc>
        <w:tc>
          <w:tcPr>
            <w:tcW w:type="dxa" w:w="3389"/>
            <w:vAlign w:val="center"/>
            <w:shd w:fill="FFFFFF"/>
          </w:tcPr>
          <w:p>
            <w:pPr>
              <w:spacing w:after="60"/>
            </w:pPr>
            <w:r>
              <w:rPr>
                <w:b w:val="0"/>
                <w:i/>
                <w:sz w:val="22"/>
              </w:rPr>
              <w:t>Most annual vegetables and many commercial flowers.</w:t>
            </w:r>
          </w:p>
        </w:tc>
      </w:tr>
      <w:tr>
        <w:trPr>
          <w:cantSplit/>
        </w:trPr>
        <w:tc>
          <w:tcPr>
            <w:tcW w:type="dxa" w:w="3389"/>
            <w:vAlign w:val="center"/>
            <w:shd w:fill="FFFFFF"/>
          </w:tcPr>
          <w:p>
            <w:pPr>
              <w:spacing w:after="60"/>
            </w:pPr>
            <w:r>
              <w:rPr>
                <w:b/>
                <w:i/>
                <w:sz w:val="22"/>
              </w:rPr>
              <w:t>Hard, water-resistant coat</w:t>
            </w:r>
          </w:p>
        </w:tc>
        <w:tc>
          <w:tcPr>
            <w:tcW w:type="dxa" w:w="3389"/>
            <w:vAlign w:val="center"/>
            <w:shd w:fill="FFFFFF"/>
          </w:tcPr>
          <w:p>
            <w:pPr>
              <w:spacing w:after="60"/>
            </w:pPr>
            <w:r>
              <w:rPr>
                <w:b w:val="0"/>
                <w:i/>
                <w:sz w:val="22"/>
              </w:rPr>
              <w:t>Scarify: nick, abrade, or species-approved hot-water treatment</w:t>
            </w:r>
          </w:p>
        </w:tc>
        <w:tc>
          <w:tcPr>
            <w:tcW w:type="dxa" w:w="3389"/>
            <w:vAlign w:val="center"/>
            <w:shd w:fill="FFFFFF"/>
          </w:tcPr>
          <w:p>
            <w:pPr>
              <w:spacing w:after="60"/>
            </w:pPr>
            <w:r>
              <w:rPr>
                <w:b w:val="0"/>
                <w:i/>
                <w:sz w:val="22"/>
              </w:rPr>
              <w:t>Stop before injuring the embryo. Often used for legumes and some woody plants.</w:t>
            </w:r>
          </w:p>
        </w:tc>
      </w:tr>
      <w:tr>
        <w:trPr>
          <w:cantSplit/>
        </w:trPr>
        <w:tc>
          <w:tcPr>
            <w:tcW w:type="dxa" w:w="3389"/>
            <w:vAlign w:val="center"/>
            <w:shd w:fill="FFFFFF"/>
          </w:tcPr>
          <w:p>
            <w:pPr>
              <w:spacing w:after="60"/>
            </w:pPr>
            <w:r>
              <w:rPr>
                <w:b/>
                <w:i/>
                <w:sz w:val="22"/>
              </w:rPr>
              <w:t>Physiological dormancy</w:t>
            </w:r>
          </w:p>
        </w:tc>
        <w:tc>
          <w:tcPr>
            <w:tcW w:type="dxa" w:w="3389"/>
            <w:vAlign w:val="center"/>
            <w:shd w:fill="FFFFFF"/>
          </w:tcPr>
          <w:p>
            <w:pPr>
              <w:spacing w:after="60"/>
            </w:pPr>
            <w:r>
              <w:rPr>
                <w:b w:val="0"/>
                <w:i/>
                <w:sz w:val="22"/>
              </w:rPr>
              <w:t>Cold-moist stratify, commonly 1-5 °C (34-41 °F)</w:t>
            </w:r>
          </w:p>
        </w:tc>
        <w:tc>
          <w:tcPr>
            <w:tcW w:type="dxa" w:w="3389"/>
            <w:vAlign w:val="center"/>
            <w:shd w:fill="FFFFFF"/>
          </w:tcPr>
          <w:p>
            <w:pPr>
              <w:spacing w:after="60"/>
            </w:pPr>
            <w:r>
              <w:rPr>
                <w:b w:val="0"/>
                <w:i/>
                <w:sz w:val="22"/>
              </w:rPr>
              <w:t>Duration is species-specific—often weeks to months. Keep moist and aerated.</w:t>
            </w:r>
          </w:p>
        </w:tc>
      </w:tr>
      <w:tr>
        <w:trPr>
          <w:cantSplit/>
        </w:trPr>
        <w:tc>
          <w:tcPr>
            <w:tcW w:type="dxa" w:w="3389"/>
            <w:vAlign w:val="center"/>
            <w:shd w:fill="FFFFFF"/>
          </w:tcPr>
          <w:p>
            <w:pPr>
              <w:spacing w:after="60"/>
            </w:pPr>
            <w:r>
              <w:rPr>
                <w:b/>
                <w:i/>
                <w:sz w:val="22"/>
              </w:rPr>
              <w:t>Warm + cold sequence</w:t>
            </w:r>
          </w:p>
        </w:tc>
        <w:tc>
          <w:tcPr>
            <w:tcW w:type="dxa" w:w="3389"/>
            <w:vAlign w:val="center"/>
            <w:shd w:fill="FFFFFF"/>
          </w:tcPr>
          <w:p>
            <w:pPr>
              <w:spacing w:after="60"/>
            </w:pPr>
            <w:r>
              <w:rPr>
                <w:b w:val="0"/>
                <w:i/>
                <w:sz w:val="22"/>
              </w:rPr>
              <w:t>Warm-moist period followed by cold-moist period</w:t>
            </w:r>
          </w:p>
        </w:tc>
        <w:tc>
          <w:tcPr>
            <w:tcW w:type="dxa" w:w="3389"/>
            <w:vAlign w:val="center"/>
            <w:shd w:fill="FFFFFF"/>
          </w:tcPr>
          <w:p>
            <w:pPr>
              <w:spacing w:after="60"/>
            </w:pPr>
            <w:r>
              <w:rPr>
                <w:b w:val="0"/>
                <w:i/>
                <w:sz w:val="22"/>
              </w:rPr>
              <w:t>Used by some temperate woody plants; follow a species protocol.</w:t>
            </w:r>
          </w:p>
        </w:tc>
      </w:tr>
      <w:tr>
        <w:trPr>
          <w:cantSplit/>
        </w:trPr>
        <w:tc>
          <w:tcPr>
            <w:tcW w:type="dxa" w:w="3389"/>
            <w:vAlign w:val="center"/>
            <w:shd w:fill="FFFFFF"/>
          </w:tcPr>
          <w:p>
            <w:pPr>
              <w:spacing w:after="60"/>
            </w:pPr>
            <w:r>
              <w:rPr>
                <w:b/>
                <w:i/>
                <w:sz w:val="22"/>
              </w:rPr>
              <w:t>Chemical inhibitor in fruit pulp</w:t>
            </w:r>
          </w:p>
        </w:tc>
        <w:tc>
          <w:tcPr>
            <w:tcW w:type="dxa" w:w="3389"/>
            <w:vAlign w:val="center"/>
            <w:shd w:fill="FFFFFF"/>
          </w:tcPr>
          <w:p>
            <w:pPr>
              <w:spacing w:after="60"/>
            </w:pPr>
            <w:r>
              <w:rPr>
                <w:b w:val="0"/>
                <w:i/>
                <w:sz w:val="22"/>
              </w:rPr>
              <w:t>Clean and rinse seed thoroughly</w:t>
            </w:r>
          </w:p>
        </w:tc>
        <w:tc>
          <w:tcPr>
            <w:tcW w:type="dxa" w:w="3389"/>
            <w:vAlign w:val="center"/>
            <w:shd w:fill="FFFFFF"/>
          </w:tcPr>
          <w:p>
            <w:pPr>
              <w:spacing w:after="60"/>
            </w:pPr>
            <w:r>
              <w:rPr>
                <w:b w:val="0"/>
                <w:i/>
                <w:sz w:val="22"/>
              </w:rPr>
              <w:t>Common for fleshy fruits; ferment only when the species protocol calls for it.</w:t>
            </w:r>
          </w:p>
        </w:tc>
      </w:tr>
      <w:tr>
        <w:trPr>
          <w:cantSplit/>
        </w:trPr>
        <w:tc>
          <w:tcPr>
            <w:tcW w:type="dxa" w:w="3389"/>
            <w:vAlign w:val="center"/>
            <w:shd w:fill="FFFFFF"/>
          </w:tcPr>
          <w:p>
            <w:pPr>
              <w:spacing w:after="60"/>
            </w:pPr>
            <w:r>
              <w:rPr>
                <w:b/>
                <w:i/>
                <w:sz w:val="22"/>
              </w:rPr>
              <w:t>Unknown</w:t>
            </w:r>
          </w:p>
        </w:tc>
        <w:tc>
          <w:tcPr>
            <w:tcW w:type="dxa" w:w="3389"/>
            <w:vAlign w:val="center"/>
            <w:shd w:fill="FFFFFF"/>
          </w:tcPr>
          <w:p>
            <w:pPr>
              <w:spacing w:after="60"/>
            </w:pPr>
            <w:r>
              <w:rPr>
                <w:b w:val="0"/>
                <w:i/>
                <w:sz w:val="22"/>
              </w:rPr>
              <w:t>Research the exact species before treatment</w:t>
            </w:r>
          </w:p>
        </w:tc>
        <w:tc>
          <w:tcPr>
            <w:tcW w:type="dxa" w:w="3389"/>
            <w:vAlign w:val="center"/>
            <w:shd w:fill="FFFFFF"/>
          </w:tcPr>
          <w:p>
            <w:pPr>
              <w:spacing w:after="60"/>
            </w:pPr>
            <w:r>
              <w:rPr>
                <w:b w:val="0"/>
                <w:i/>
                <w:sz w:val="22"/>
              </w:rPr>
              <w:t>Do not guess: the wrong scarification or temperature can kill viable seed.</w:t>
            </w:r>
          </w:p>
        </w:tc>
      </w:tr>
    </w:tbl>
    <w:p>
      <w:pPr>
        <w:spacing w:after="20"/>
      </w:pPr>
    </w:p>
    <w:p>
      <w:pPr>
        <w:pStyle w:val="Heading2"/>
      </w:pPr>
      <w:r>
        <w:t>Standard Sowing Protocol</w:t>
      </w:r>
    </w:p>
    <w:p>
      <w:r>
        <w:rPr>
          <w:b/>
          <w:i/>
        </w:rPr>
        <w:t xml:space="preserve">1. Verify identity and viability. </w:t>
      </w:r>
      <w:r>
        <w:rPr>
          <w:b/>
          <w:i/>
        </w:rPr>
        <w:t>Record species, cultivar or accession, source, collection date, and storage history. Discard obviously damaged or moldy seed. A small trial is wiser than risking the entire lot.</w:t>
      </w:r>
    </w:p>
    <w:p>
      <w:r>
        <w:rPr>
          <w:b/>
          <w:i/>
        </w:rPr>
        <w:t xml:space="preserve">2. Sanitize the work area. </w:t>
      </w:r>
      <w:r>
        <w:rPr>
          <w:b/>
          <w:i/>
        </w:rPr>
        <w:t>Wash hands and containers. Wipe tools and the work surface with 70% alcohol and let them air-dry. Seed disinfection can injure embryos; use it only under a species-appropriate protocol.</w:t>
      </w:r>
    </w:p>
    <w:p>
      <w:r>
        <w:rPr>
          <w:b/>
          <w:i/>
        </w:rPr>
        <w:t xml:space="preserve">3. Prepare the medium. </w:t>
      </w:r>
      <w:r>
        <w:rPr>
          <w:b/>
          <w:i/>
        </w:rPr>
        <w:t>Moisten seed-starting mix with clean water until it holds together when squeezed but releases no stream of water. Fill containers loosely; do not compact.</w:t>
      </w:r>
    </w:p>
    <w:p>
      <w:r>
        <w:rPr>
          <w:b/>
          <w:i/>
        </w:rPr>
        <w:t xml:space="preserve">4. Apply pretreatment. </w:t>
      </w:r>
      <w:r>
        <w:rPr>
          <w:b/>
          <w:i/>
        </w:rPr>
        <w:t>Scarify, stratify, soak, or clean only when required. Label the lot throughout treatment. Never allow stratifying seed to dry out or sit in standing water.</w:t>
      </w:r>
    </w:p>
    <w:p>
      <w:r>
        <w:rPr>
          <w:b/>
          <w:i/>
        </w:rPr>
        <w:t xml:space="preserve">5. Sow at the correct depth. </w:t>
      </w:r>
      <w:r>
        <w:rPr>
          <w:b/>
          <w:i/>
        </w:rPr>
        <w:t>As a rule of thumb, cover seed about 2-3 times its thickness. Surface-sow very small or light-requiring seed and press it into firm contact with the medium. Species instructions take priority.</w:t>
      </w:r>
    </w:p>
    <w:p>
      <w:r>
        <w:rPr>
          <w:b/>
          <w:i/>
        </w:rPr>
        <w:t xml:space="preserve">6. Label completely. </w:t>
      </w:r>
      <w:r>
        <w:rPr>
          <w:b/>
          <w:i/>
        </w:rPr>
        <w:t>Record plant name, source or lot, treatment, sowing date, number sown, medium, and intended temperature/light regime.</w:t>
      </w:r>
    </w:p>
    <w:p>
      <w:r>
        <w:rPr>
          <w:b/>
          <w:i/>
        </w:rPr>
        <w:t xml:space="preserve">7. Provide moisture and humidity. </w:t>
      </w:r>
      <w:r>
        <w:rPr>
          <w:b/>
          <w:i/>
        </w:rPr>
        <w:t>Mist or bottom-water without moving the seed. Cover loosely to slow evaporation while preserving some gas exchange. Remove standing drainage water.</w:t>
      </w:r>
    </w:p>
    <w:p>
      <w:r>
        <w:rPr>
          <w:b/>
          <w:i/>
        </w:rPr>
        <w:t xml:space="preserve">8. Control temperature and light. </w:t>
      </w:r>
      <w:r>
        <w:rPr>
          <w:b/>
          <w:i/>
        </w:rPr>
        <w:t>Measure medium temperature, not merely room temperature. Give light-requiring seeds bright light without overheating. Darkness-requiring seed may be covered, but inspect regularly.</w:t>
      </w:r>
    </w:p>
    <w:p>
      <w:pPr>
        <w:pStyle w:val="Heading2"/>
      </w:pPr>
      <w:r>
        <w:t>Light requirements before emergence</w:t>
      </w:r>
    </w:p>
    <w:p>
      <w:r>
        <w:rPr>
          <w:b w:val="0"/>
          <w:i w:val="0"/>
        </w:rPr>
        <w:t>Light required means illumination is part of the germination treatment. Light beneficial means it improves germination without necessarily being essential. A recommendation to surface sow, by itself, does not prove a strict light requirement. Seedling light needs after emergence are a separate question.</w:t>
      </w:r>
    </w:p>
    <w:p>
      <w:r>
        <w:rPr>
          <w:b w:val="0"/>
          <w:i w:val="0"/>
        </w:rPr>
        <w:t>For the plant collection: provide light for mistletoe cactus (Rhipsalis baccifera), anise hyssop, catnip and Sempervivum. Light benefits lanceleaf coreopsis. African violet and fireweed guidance favors exposed surface sowing with light. For bromeliads and Cryptanthus, use the identified species protocol rather than assuming one response throughout the family.</w:t>
      </w:r>
    </w:p>
    <w:p>
      <w:r>
        <w:rPr>
          <w:b w:val="0"/>
          <w:i w:val="0"/>
        </w:rPr>
        <w:t xml:space="preserve">Germination source: </w:t>
      </w:r>
      <w:hyperlink r:id="rId12">
        <w:r>
          <w:rPr>
            <w:color w:val="245B43"/>
            <w:u w:val="single"/>
          </w:rPr>
          <w:t>De La Rosa Manzano and Briones, 2010, International Journal of Plant Sciences, 171, Germination Response of the Epiphytic Cactus Rhipsalis baccifera</w:t>
        </w:r>
      </w:hyperlink>
      <w:r>
        <w:t>. Checked 2026-09-21.</w:t>
      </w:r>
    </w:p>
    <w:p>
      <w:r>
        <w:rPr>
          <w:b w:val="0"/>
          <w:i w:val="0"/>
        </w:rPr>
        <w:t xml:space="preserve">Germination source: </w:t>
      </w:r>
      <w:hyperlink r:id="rId13">
        <w:r>
          <w:rPr>
            <w:color w:val="245B43"/>
            <w:u w:val="single"/>
          </w:rPr>
          <w:t>Piedmont Master Gardeners, Virginia Cooperative Extension, Anise hyssop</w:t>
        </w:r>
      </w:hyperlink>
      <w:r>
        <w:t>. Checked 2026-09-21.</w:t>
      </w:r>
    </w:p>
    <w:p>
      <w:r>
        <w:rPr>
          <w:b w:val="0"/>
          <w:i w:val="0"/>
        </w:rPr>
        <w:t xml:space="preserve">Germination source: </w:t>
      </w:r>
      <w:hyperlink r:id="rId14">
        <w:r>
          <w:rPr>
            <w:color w:val="245B43"/>
            <w:u w:val="single"/>
          </w:rPr>
          <w:t>Lady Bird Johnson Wildflower Center, Coreopsis lanceolata, propagation guidance</w:t>
        </w:r>
      </w:hyperlink>
      <w:r>
        <w:t>. Checked 2026-09-21.</w:t>
      </w:r>
    </w:p>
    <w:p>
      <w:pPr>
        <w:pStyle w:val="Heading2"/>
      </w:pPr>
      <w:r>
        <w:t>Monitoring and Records</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sz w:val="22"/>
              </w:rPr>
              <w:t>Record</w:t>
            </w:r>
          </w:p>
        </w:tc>
        <w:tc>
          <w:tcPr>
            <w:tcW w:type="dxa" w:w="5083"/>
            <w:vAlign w:val="center"/>
            <w:shd w:fill="E9EDF0"/>
          </w:tcPr>
          <w:p>
            <w:pPr>
              <w:spacing w:after="60"/>
            </w:pPr>
            <w:r>
              <w:rPr>
                <w:b/>
                <w:i/>
                <w:sz w:val="22"/>
              </w:rPr>
              <w:t>Minimum information</w:t>
            </w:r>
          </w:p>
        </w:tc>
      </w:tr>
      <w:tr>
        <w:trPr>
          <w:cantSplit/>
        </w:trPr>
        <w:tc>
          <w:tcPr>
            <w:tcW w:type="dxa" w:w="5083"/>
            <w:vAlign w:val="center"/>
            <w:shd w:fill="FFFFFF"/>
          </w:tcPr>
          <w:p>
            <w:pPr>
              <w:spacing w:after="60"/>
            </w:pPr>
            <w:r>
              <w:rPr>
                <w:b/>
                <w:i/>
                <w:sz w:val="22"/>
              </w:rPr>
              <w:t>Daily check</w:t>
            </w:r>
          </w:p>
        </w:tc>
        <w:tc>
          <w:tcPr>
            <w:tcW w:type="dxa" w:w="5083"/>
            <w:vAlign w:val="center"/>
            <w:shd w:fill="FFFFFF"/>
          </w:tcPr>
          <w:p>
            <w:pPr>
              <w:spacing w:after="60"/>
            </w:pPr>
            <w:r>
              <w:rPr>
                <w:b w:val="0"/>
                <w:i/>
                <w:sz w:val="22"/>
              </w:rPr>
              <w:t>Medium moisture, temperature, condensation, odor, mold, and emergence.</w:t>
            </w:r>
          </w:p>
        </w:tc>
      </w:tr>
      <w:tr>
        <w:trPr>
          <w:cantSplit/>
        </w:trPr>
        <w:tc>
          <w:tcPr>
            <w:tcW w:type="dxa" w:w="5083"/>
            <w:vAlign w:val="center"/>
            <w:shd w:fill="FFFFFF"/>
          </w:tcPr>
          <w:p>
            <w:pPr>
              <w:spacing w:after="60"/>
            </w:pPr>
            <w:r>
              <w:rPr>
                <w:b/>
                <w:i/>
                <w:sz w:val="22"/>
              </w:rPr>
              <w:t>Germination count</w:t>
            </w:r>
          </w:p>
        </w:tc>
        <w:tc>
          <w:tcPr>
            <w:tcW w:type="dxa" w:w="5083"/>
            <w:vAlign w:val="center"/>
            <w:shd w:fill="FFFFFF"/>
          </w:tcPr>
          <w:p>
            <w:pPr>
              <w:spacing w:after="60"/>
            </w:pPr>
            <w:r>
              <w:rPr>
                <w:b w:val="0"/>
                <w:i/>
                <w:sz w:val="22"/>
              </w:rPr>
              <w:t>Count normal seedlings at the same time each day or at a defined interval.</w:t>
            </w:r>
          </w:p>
        </w:tc>
      </w:tr>
      <w:tr>
        <w:trPr>
          <w:cantSplit/>
        </w:trPr>
        <w:tc>
          <w:tcPr>
            <w:tcW w:type="dxa" w:w="5083"/>
            <w:vAlign w:val="center"/>
            <w:shd w:fill="FFFFFF"/>
          </w:tcPr>
          <w:p>
            <w:pPr>
              <w:spacing w:after="60"/>
            </w:pPr>
            <w:r>
              <w:rPr>
                <w:b/>
                <w:i/>
                <w:sz w:val="22"/>
              </w:rPr>
              <w:t>Germination percentage</w:t>
            </w:r>
          </w:p>
        </w:tc>
        <w:tc>
          <w:tcPr>
            <w:tcW w:type="dxa" w:w="5083"/>
            <w:vAlign w:val="center"/>
            <w:shd w:fill="FFFFFF"/>
          </w:tcPr>
          <w:p>
            <w:pPr>
              <w:spacing w:after="60"/>
            </w:pPr>
            <w:r>
              <w:rPr>
                <w:b w:val="0"/>
                <w:i/>
                <w:sz w:val="22"/>
              </w:rPr>
              <w:t>Normal seedlings ÷ seeds sown × 100.</w:t>
            </w:r>
          </w:p>
        </w:tc>
      </w:tr>
      <w:tr>
        <w:trPr>
          <w:cantSplit/>
        </w:trPr>
        <w:tc>
          <w:tcPr>
            <w:tcW w:type="dxa" w:w="5083"/>
            <w:vAlign w:val="center"/>
            <w:shd w:fill="FFFFFF"/>
          </w:tcPr>
          <w:p>
            <w:pPr>
              <w:spacing w:after="60"/>
            </w:pPr>
            <w:r>
              <w:rPr>
                <w:b/>
                <w:i/>
                <w:sz w:val="22"/>
              </w:rPr>
              <w:t>Mean germination time</w:t>
            </w:r>
          </w:p>
        </w:tc>
        <w:tc>
          <w:tcPr>
            <w:tcW w:type="dxa" w:w="5083"/>
            <w:vAlign w:val="center"/>
            <w:shd w:fill="FFFFFF"/>
          </w:tcPr>
          <w:p>
            <w:pPr>
              <w:spacing w:after="60"/>
            </w:pPr>
            <w:r>
              <w:rPr>
                <w:b w:val="0"/>
                <w:i/>
                <w:sz w:val="22"/>
              </w:rPr>
              <w:t>If needed for research, calculate from daily emergence counts and days after sowing.</w:t>
            </w:r>
          </w:p>
        </w:tc>
      </w:tr>
      <w:tr>
        <w:trPr>
          <w:cantSplit/>
        </w:trPr>
        <w:tc>
          <w:tcPr>
            <w:tcW w:type="dxa" w:w="5083"/>
            <w:vAlign w:val="center"/>
            <w:shd w:fill="FFFFFF"/>
          </w:tcPr>
          <w:p>
            <w:pPr>
              <w:spacing w:after="60"/>
            </w:pPr>
            <w:r>
              <w:rPr>
                <w:b/>
                <w:i/>
                <w:sz w:val="22"/>
              </w:rPr>
              <w:t>Final note</w:t>
            </w:r>
          </w:p>
        </w:tc>
        <w:tc>
          <w:tcPr>
            <w:tcW w:type="dxa" w:w="5083"/>
            <w:vAlign w:val="center"/>
            <w:shd w:fill="FFFFFF"/>
          </w:tcPr>
          <w:p>
            <w:pPr>
              <w:spacing w:after="60"/>
            </w:pPr>
            <w:r>
              <w:rPr>
                <w:b w:val="0"/>
                <w:i/>
                <w:sz w:val="22"/>
              </w:rPr>
              <w:t>Date ended, abnormal seedlings, losses, probable cause, and changes for the next trial.</w:t>
            </w:r>
          </w:p>
        </w:tc>
      </w:tr>
    </w:tbl>
    <w:p>
      <w:pPr>
        <w:spacing w:after="20"/>
      </w:pPr>
    </w:p>
    <w:p>
      <w:pPr>
        <w:pStyle w:val="Heading2"/>
      </w:pPr>
      <w:r>
        <w:t>After Emergence</w:t>
      </w:r>
    </w:p>
    <w:p>
      <w:pPr>
        <w:pStyle w:val="ListBullet"/>
      </w:pPr>
      <w:r>
        <w:rPr>
          <w:b/>
          <w:i/>
        </w:rPr>
        <w:t>Open or remove the humidity cover gradually as seedlings emerge. Constant high humidity invites damping-off.</w:t>
      </w:r>
    </w:p>
    <w:p>
      <w:pPr>
        <w:pStyle w:val="ListBullet"/>
      </w:pPr>
      <w:r>
        <w:rPr>
          <w:b/>
          <w:i/>
        </w:rPr>
        <w:t>Move seedlings promptly into strong, appropriate light. Pale, leaning, elongated seedlings indicate insufficient light.</w:t>
      </w:r>
    </w:p>
    <w:p>
      <w:pPr>
        <w:pStyle w:val="ListBullet"/>
      </w:pPr>
      <w:r>
        <w:rPr>
          <w:b/>
          <w:i/>
        </w:rPr>
        <w:t>Water from below when practical, then drain. Keep leaves and stems dry overnight.</w:t>
      </w:r>
    </w:p>
    <w:p>
      <w:pPr>
        <w:pStyle w:val="ListBullet"/>
      </w:pPr>
      <w:r>
        <w:rPr>
          <w:b/>
          <w:i/>
        </w:rPr>
        <w:t>Begin weak fertilizer only after true leaves appear or when the species protocol directs; seed-starting mix may contain little nutrition.</w:t>
      </w:r>
    </w:p>
    <w:p>
      <w:pPr>
        <w:pStyle w:val="ListBullet"/>
      </w:pPr>
      <w:r>
        <w:rPr>
          <w:b/>
          <w:i/>
        </w:rPr>
        <w:t>Provide gentle air movement without chilling or desiccating seedlings.</w:t>
      </w:r>
    </w:p>
    <w:p>
      <w:pPr>
        <w:pStyle w:val="ListBullet"/>
      </w:pPr>
      <w:r>
        <w:rPr>
          <w:b/>
          <w:i/>
        </w:rPr>
        <w:t>Transplant after the seedling is sturdy and has adequate roots. Handle by a leaf, not the fragile stem. Harden off before outdoor planting.</w:t>
      </w:r>
    </w:p>
    <w:p>
      <w:pPr>
        <w:pStyle w:val="Heading2"/>
      </w:pPr>
      <w:r>
        <w:t>Watch germination</w:t>
      </w:r>
    </w:p>
    <w:p>
      <w:r>
        <w:rPr>
          <w:b w:val="0"/>
          <w:i w:val="0"/>
        </w:rPr>
        <w:t>A soil cross section makes kidney-bean root and shoot development visible. This approximately 3-minute-10-second film follows 25 days of growth.</w:t>
      </w:r>
    </w:p>
    <w:p>
      <w:hyperlink r:id="rId15">
        <w:r>
          <w:rPr>
            <w:color w:val="245B43"/>
            <w:u w:val="single"/>
          </w:rPr>
          <w:t>Watch the germination time-lapse</w:t>
        </w:r>
      </w:hyperlink>
    </w:p>
    <w:p>
      <w:r>
        <w:rPr>
          <w:b w:val="0"/>
          <w:i w:val="0"/>
        </w:rPr>
        <w:t>Bean Time-Lapse - 25 days | Soil cross section</w:t>
      </w:r>
      <w:r>
        <w:br/>
      </w:r>
      <w:r>
        <w:t>Creator: GPhase. Link checked 2026-09-21.</w:t>
      </w:r>
    </w:p>
    <w:p>
      <w:r>
        <w:rPr>
          <w:b w:val="0"/>
          <w:i w:val="0"/>
        </w:rPr>
        <w:t>Use this bean example to observe the sequence of development. Sowing depth, light, temperature, and timing must follow the species being grown. Filming conditions affect growth; a time-lapse alone does not establish whether light is required for germination.</w:t>
      </w:r>
    </w:p>
    <w:p>
      <w:pPr>
        <w:pStyle w:val="Heading2"/>
      </w:pPr>
      <w:r>
        <w:t>Troubleshooting</w:t>
      </w:r>
    </w:p>
    <w:tbl>
      <w:tblPr>
        <w:tblW w:type="auto" w:w="0"/>
        <w:jc w:val="center"/>
        <w:tblLayout w:type="autofit"/>
        <w:tblLook w:firstColumn="1" w:firstRow="1" w:lastColumn="0" w:lastRow="0" w:noHBand="0" w:noVBand="1" w:val="04A0"/>
      </w:tblPr>
      <w:tblGrid>
        <w:gridCol w:w="3389"/>
        <w:gridCol w:w="3389"/>
        <w:gridCol w:w="3389"/>
      </w:tblGrid>
      <w:tr>
        <w:trPr>
          <w:cantSplit/>
          <w:tblHeader w:val="true"/>
        </w:trPr>
        <w:tc>
          <w:tcPr>
            <w:tcW w:type="dxa" w:w="3389"/>
            <w:vAlign w:val="center"/>
            <w:shd w:fill="E9EDF0"/>
          </w:tcPr>
          <w:p>
            <w:pPr>
              <w:spacing w:after="60"/>
            </w:pPr>
            <w:r>
              <w:rPr>
                <w:b/>
                <w:i/>
                <w:sz w:val="22"/>
              </w:rPr>
              <w:t>Problem</w:t>
            </w:r>
          </w:p>
        </w:tc>
        <w:tc>
          <w:tcPr>
            <w:tcW w:type="dxa" w:w="3389"/>
            <w:vAlign w:val="center"/>
            <w:shd w:fill="E9EDF0"/>
          </w:tcPr>
          <w:p>
            <w:pPr>
              <w:spacing w:after="60"/>
            </w:pPr>
            <w:r>
              <w:rPr>
                <w:b/>
                <w:i/>
                <w:sz w:val="22"/>
              </w:rPr>
              <w:t>Likely causes</w:t>
            </w:r>
          </w:p>
        </w:tc>
        <w:tc>
          <w:tcPr>
            <w:tcW w:type="dxa" w:w="3389"/>
            <w:vAlign w:val="center"/>
            <w:shd w:fill="E9EDF0"/>
          </w:tcPr>
          <w:p>
            <w:pPr>
              <w:spacing w:after="60"/>
            </w:pPr>
            <w:r>
              <w:rPr>
                <w:b/>
                <w:i/>
                <w:sz w:val="22"/>
              </w:rPr>
              <w:t>Corrective action</w:t>
            </w:r>
          </w:p>
        </w:tc>
      </w:tr>
      <w:tr>
        <w:trPr>
          <w:cantSplit/>
        </w:trPr>
        <w:tc>
          <w:tcPr>
            <w:tcW w:type="dxa" w:w="3389"/>
            <w:vAlign w:val="center"/>
            <w:shd w:fill="FFFFFF"/>
          </w:tcPr>
          <w:p>
            <w:pPr>
              <w:spacing w:after="60"/>
            </w:pPr>
            <w:r>
              <w:rPr>
                <w:b/>
                <w:i/>
                <w:sz w:val="22"/>
              </w:rPr>
              <w:t>No germination</w:t>
            </w:r>
          </w:p>
        </w:tc>
        <w:tc>
          <w:tcPr>
            <w:tcW w:type="dxa" w:w="3389"/>
            <w:vAlign w:val="center"/>
            <w:shd w:fill="FFFFFF"/>
          </w:tcPr>
          <w:p>
            <w:pPr>
              <w:spacing w:after="60"/>
            </w:pPr>
            <w:r>
              <w:rPr>
                <w:b w:val="0"/>
                <w:i/>
                <w:sz w:val="22"/>
              </w:rPr>
              <w:t>Nonviable seed; wrong dormancy treatment; temperature, light, depth, or moisture error</w:t>
            </w:r>
          </w:p>
        </w:tc>
        <w:tc>
          <w:tcPr>
            <w:tcW w:type="dxa" w:w="3389"/>
            <w:vAlign w:val="center"/>
            <w:shd w:fill="FFFFFF"/>
          </w:tcPr>
          <w:p>
            <w:pPr>
              <w:spacing w:after="60"/>
            </w:pPr>
            <w:r>
              <w:rPr>
                <w:b w:val="0"/>
                <w:i/>
                <w:sz w:val="22"/>
              </w:rPr>
              <w:t>Verify species requirements; test a small new lot; correct one variable at a time.</w:t>
            </w:r>
          </w:p>
        </w:tc>
      </w:tr>
      <w:tr>
        <w:trPr>
          <w:cantSplit/>
        </w:trPr>
        <w:tc>
          <w:tcPr>
            <w:tcW w:type="dxa" w:w="3389"/>
            <w:vAlign w:val="center"/>
            <w:shd w:fill="FFFFFF"/>
          </w:tcPr>
          <w:p>
            <w:pPr>
              <w:spacing w:after="60"/>
            </w:pPr>
            <w:r>
              <w:rPr>
                <w:b/>
                <w:i/>
                <w:sz w:val="22"/>
              </w:rPr>
              <w:t>Mold before emergence</w:t>
            </w:r>
          </w:p>
        </w:tc>
        <w:tc>
          <w:tcPr>
            <w:tcW w:type="dxa" w:w="3389"/>
            <w:vAlign w:val="center"/>
            <w:shd w:fill="FFFFFF"/>
          </w:tcPr>
          <w:p>
            <w:pPr>
              <w:spacing w:after="60"/>
            </w:pPr>
            <w:r>
              <w:rPr>
                <w:b w:val="0"/>
                <w:i/>
                <w:sz w:val="22"/>
              </w:rPr>
              <w:t>Contaminated seed or medium; excess moisture; poor air exchange</w:t>
            </w:r>
          </w:p>
        </w:tc>
        <w:tc>
          <w:tcPr>
            <w:tcW w:type="dxa" w:w="3389"/>
            <w:vAlign w:val="center"/>
            <w:shd w:fill="FFFFFF"/>
          </w:tcPr>
          <w:p>
            <w:pPr>
              <w:spacing w:after="60"/>
            </w:pPr>
            <w:r>
              <w:rPr>
                <w:b w:val="0"/>
                <w:i/>
                <w:sz w:val="22"/>
              </w:rPr>
              <w:t>Remove affected material; improve sanitation, drainage, and ventilation.</w:t>
            </w:r>
          </w:p>
        </w:tc>
      </w:tr>
      <w:tr>
        <w:trPr>
          <w:cantSplit/>
        </w:trPr>
        <w:tc>
          <w:tcPr>
            <w:tcW w:type="dxa" w:w="3389"/>
            <w:vAlign w:val="center"/>
            <w:shd w:fill="FFFFFF"/>
          </w:tcPr>
          <w:p>
            <w:pPr>
              <w:spacing w:after="60"/>
            </w:pPr>
            <w:r>
              <w:rPr>
                <w:b/>
                <w:i/>
                <w:sz w:val="22"/>
              </w:rPr>
              <w:t>Seedlings collapse at soil line</w:t>
            </w:r>
          </w:p>
        </w:tc>
        <w:tc>
          <w:tcPr>
            <w:tcW w:type="dxa" w:w="3389"/>
            <w:vAlign w:val="center"/>
            <w:shd w:fill="FFFFFF"/>
          </w:tcPr>
          <w:p>
            <w:pPr>
              <w:spacing w:after="60"/>
            </w:pPr>
            <w:r>
              <w:rPr>
                <w:b w:val="0"/>
                <w:i/>
                <w:sz w:val="22"/>
              </w:rPr>
              <w:t>Damping-off fungi or oomycetes favored by wet, crowded conditions</w:t>
            </w:r>
          </w:p>
        </w:tc>
        <w:tc>
          <w:tcPr>
            <w:tcW w:type="dxa" w:w="3389"/>
            <w:vAlign w:val="center"/>
            <w:shd w:fill="FFFFFF"/>
          </w:tcPr>
          <w:p>
            <w:pPr>
              <w:spacing w:after="60"/>
            </w:pPr>
            <w:r>
              <w:rPr>
                <w:b w:val="0"/>
                <w:i/>
                <w:sz w:val="22"/>
              </w:rPr>
              <w:t>Discard affected plants and medium; sanitize; reduce moisture and crowding; increase airflow.</w:t>
            </w:r>
          </w:p>
        </w:tc>
      </w:tr>
      <w:tr>
        <w:trPr>
          <w:cantSplit/>
        </w:trPr>
        <w:tc>
          <w:tcPr>
            <w:tcW w:type="dxa" w:w="3389"/>
            <w:vAlign w:val="center"/>
            <w:shd w:fill="FFFFFF"/>
          </w:tcPr>
          <w:p>
            <w:pPr>
              <w:spacing w:after="60"/>
            </w:pPr>
            <w:r>
              <w:rPr>
                <w:b/>
                <w:i/>
                <w:sz w:val="22"/>
              </w:rPr>
              <w:t>Long, pale seedlings</w:t>
            </w:r>
          </w:p>
        </w:tc>
        <w:tc>
          <w:tcPr>
            <w:tcW w:type="dxa" w:w="3389"/>
            <w:vAlign w:val="center"/>
            <w:shd w:fill="FFFFFF"/>
          </w:tcPr>
          <w:p>
            <w:pPr>
              <w:spacing w:after="60"/>
            </w:pPr>
            <w:r>
              <w:rPr>
                <w:b w:val="0"/>
                <w:i/>
                <w:sz w:val="22"/>
              </w:rPr>
              <w:t>Insufficient light or excessive warmth</w:t>
            </w:r>
          </w:p>
        </w:tc>
        <w:tc>
          <w:tcPr>
            <w:tcW w:type="dxa" w:w="3389"/>
            <w:vAlign w:val="center"/>
            <w:shd w:fill="FFFFFF"/>
          </w:tcPr>
          <w:p>
            <w:pPr>
              <w:spacing w:after="60"/>
            </w:pPr>
            <w:r>
              <w:rPr>
                <w:b w:val="0"/>
                <w:i/>
                <w:sz w:val="22"/>
              </w:rPr>
              <w:t>Increase light intensity or duration and moderate temperature.</w:t>
            </w:r>
          </w:p>
        </w:tc>
      </w:tr>
      <w:tr>
        <w:trPr>
          <w:cantSplit/>
        </w:trPr>
        <w:tc>
          <w:tcPr>
            <w:tcW w:type="dxa" w:w="3389"/>
            <w:vAlign w:val="center"/>
            <w:shd w:fill="FFFFFF"/>
          </w:tcPr>
          <w:p>
            <w:pPr>
              <w:spacing w:after="60"/>
            </w:pPr>
            <w:r>
              <w:rPr>
                <w:b/>
                <w:i/>
                <w:sz w:val="22"/>
              </w:rPr>
              <w:t>Seed coat remains attached</w:t>
            </w:r>
          </w:p>
        </w:tc>
        <w:tc>
          <w:tcPr>
            <w:tcW w:type="dxa" w:w="3389"/>
            <w:vAlign w:val="center"/>
            <w:shd w:fill="FFFFFF"/>
          </w:tcPr>
          <w:p>
            <w:pPr>
              <w:spacing w:after="60"/>
            </w:pPr>
            <w:r>
              <w:rPr>
                <w:b w:val="0"/>
                <w:i/>
                <w:sz w:val="22"/>
              </w:rPr>
              <w:t>Shallow roots, low humidity during emergence, or premature handling</w:t>
            </w:r>
          </w:p>
        </w:tc>
        <w:tc>
          <w:tcPr>
            <w:tcW w:type="dxa" w:w="3389"/>
            <w:vAlign w:val="center"/>
            <w:shd w:fill="FFFFFF"/>
          </w:tcPr>
          <w:p>
            <w:pPr>
              <w:spacing w:after="60"/>
            </w:pPr>
            <w:r>
              <w:rPr>
                <w:b w:val="0"/>
                <w:i/>
                <w:sz w:val="22"/>
              </w:rPr>
              <w:t>Moisten the coat and wait; do not pull unless it releases without force.</w:t>
            </w:r>
          </w:p>
        </w:tc>
      </w:tr>
      <w:tr>
        <w:trPr>
          <w:cantSplit/>
        </w:trPr>
        <w:tc>
          <w:tcPr>
            <w:tcW w:type="dxa" w:w="3389"/>
            <w:vAlign w:val="center"/>
            <w:shd w:fill="FFFFFF"/>
          </w:tcPr>
          <w:p>
            <w:pPr>
              <w:spacing w:after="60"/>
            </w:pPr>
            <w:r>
              <w:rPr>
                <w:b/>
                <w:i/>
                <w:sz w:val="22"/>
              </w:rPr>
              <w:t>Uneven emergence</w:t>
            </w:r>
          </w:p>
        </w:tc>
        <w:tc>
          <w:tcPr>
            <w:tcW w:type="dxa" w:w="3389"/>
            <w:vAlign w:val="center"/>
            <w:shd w:fill="FFFFFF"/>
          </w:tcPr>
          <w:p>
            <w:pPr>
              <w:spacing w:after="60"/>
            </w:pPr>
            <w:r>
              <w:rPr>
                <w:b w:val="0"/>
                <w:i/>
                <w:sz w:val="22"/>
              </w:rPr>
              <w:t>Variable depth, temperature, moisture, seed age, or dormancy</w:t>
            </w:r>
          </w:p>
        </w:tc>
        <w:tc>
          <w:tcPr>
            <w:tcW w:type="dxa" w:w="3389"/>
            <w:vAlign w:val="center"/>
            <w:shd w:fill="FFFFFF"/>
          </w:tcPr>
          <w:p>
            <w:pPr>
              <w:spacing w:after="60"/>
            </w:pPr>
            <w:r>
              <w:rPr>
                <w:b w:val="0"/>
                <w:i/>
                <w:sz w:val="22"/>
              </w:rPr>
              <w:t>Standardize sowing and environment; separate seed lots and treatments.</w:t>
            </w:r>
          </w:p>
        </w:tc>
      </w:tr>
    </w:tbl>
    <w:p>
      <w:pPr>
        <w:spacing w:after="20"/>
      </w:pPr>
    </w:p>
    <w:p>
      <w:pPr>
        <w:pStyle w:val="Heading2"/>
      </w:pPr>
      <w:r>
        <w:t>Safety and Experimental Discipline</w:t>
      </w:r>
    </w:p>
    <w:p>
      <w:r>
        <w:rPr>
          <w:b/>
          <w:i/>
        </w:rPr>
        <w:t xml:space="preserve">Do not eat treated seed: </w:t>
      </w:r>
      <w:r>
        <w:rPr>
          <w:b/>
          <w:i/>
        </w:rPr>
        <w:t>Commercial seed may carry fungicides or other pesticides.</w:t>
      </w:r>
    </w:p>
    <w:p>
      <w:r>
        <w:rPr>
          <w:b/>
          <w:i/>
        </w:rPr>
        <w:t xml:space="preserve">Do not improvise chemicals: </w:t>
      </w:r>
      <w:r>
        <w:rPr>
          <w:b/>
          <w:i/>
        </w:rPr>
        <w:t>Bleach, peroxide, smoke chemicals, gibberellic acid, and fungicides require exact species-specific concentrations, exposure times, PPE, and disposal procedures.</w:t>
      </w:r>
    </w:p>
    <w:p>
      <w:r>
        <w:rPr>
          <w:b/>
          <w:i/>
        </w:rPr>
        <w:t xml:space="preserve">Use controls: </w:t>
      </w:r>
      <w:r>
        <w:rPr>
          <w:b/>
          <w:i/>
        </w:rPr>
        <w:t>For a serious comparison, keep an untreated control and change only one experimental factor at a time.</w:t>
      </w:r>
    </w:p>
    <w:p>
      <w:r>
        <w:rPr>
          <w:b/>
          <w:i/>
        </w:rPr>
        <w:t xml:space="preserve">Stop criterion: </w:t>
      </w:r>
      <w:r>
        <w:rPr>
          <w:b/>
          <w:i/>
        </w:rPr>
        <w:t>End the trial at the species-defined final count or after a justified period with no additional germination. Record rather than conceal failures.</w:t>
      </w:r>
    </w:p>
    <w:p>
      <w:pPr>
        <w:pStyle w:val="Heading2"/>
      </w:pPr>
      <w:r>
        <w:t>Protocol Record</w:t>
      </w:r>
    </w:p>
    <w:tbl>
      <w:tblPr>
        <w:tblW w:type="auto" w:w="0"/>
        <w:jc w:val="center"/>
        <w:tblLayout w:type="autofit"/>
        <w:tblLook w:firstColumn="1" w:firstRow="1" w:lastColumn="0" w:lastRow="0" w:noHBand="0" w:noVBand="1" w:val="04A0"/>
      </w:tblPr>
      <w:tblGrid>
        <w:gridCol w:w="2541"/>
        <w:gridCol w:w="2541"/>
        <w:gridCol w:w="2541"/>
        <w:gridCol w:w="2541"/>
      </w:tblGrid>
      <w:tr>
        <w:trPr>
          <w:cantSplit/>
          <w:tblHeader w:val="true"/>
        </w:trPr>
        <w:tc>
          <w:tcPr>
            <w:tcW w:type="dxa" w:w="2541"/>
            <w:vAlign w:val="center"/>
            <w:shd w:fill="E9EDF0"/>
          </w:tcPr>
          <w:p>
            <w:pPr>
              <w:spacing w:after="60"/>
            </w:pPr>
            <w:r>
              <w:rPr>
                <w:b/>
                <w:i/>
                <w:sz w:val="22"/>
              </w:rPr>
              <w:t>Field</w:t>
            </w:r>
          </w:p>
        </w:tc>
        <w:tc>
          <w:tcPr>
            <w:tcW w:type="dxa" w:w="2541"/>
            <w:vAlign w:val="center"/>
            <w:shd w:fill="E9EDF0"/>
          </w:tcPr>
          <w:p>
            <w:pPr>
              <w:spacing w:after="60"/>
            </w:pPr>
            <w:r>
              <w:rPr>
                <w:b/>
                <w:i/>
                <w:sz w:val="22"/>
              </w:rPr>
              <w:t>Entry</w:t>
            </w:r>
          </w:p>
        </w:tc>
        <w:tc>
          <w:tcPr>
            <w:tcW w:type="dxa" w:w="2541"/>
            <w:vAlign w:val="center"/>
            <w:shd w:fill="E9EDF0"/>
          </w:tcPr>
          <w:p>
            <w:pPr>
              <w:spacing w:after="60"/>
            </w:pPr>
            <w:r>
              <w:rPr>
                <w:b/>
                <w:i/>
                <w:sz w:val="22"/>
              </w:rPr>
              <w:t>Field</w:t>
            </w:r>
          </w:p>
        </w:tc>
        <w:tc>
          <w:tcPr>
            <w:tcW w:type="dxa" w:w="2541"/>
            <w:vAlign w:val="center"/>
            <w:shd w:fill="E9EDF0"/>
          </w:tcPr>
          <w:p>
            <w:pPr>
              <w:spacing w:after="60"/>
            </w:pPr>
            <w:r>
              <w:rPr>
                <w:b/>
                <w:i/>
                <w:sz w:val="22"/>
              </w:rPr>
              <w:t>Entry</w:t>
            </w:r>
          </w:p>
        </w:tc>
      </w:tr>
      <w:tr>
        <w:trPr>
          <w:cantSplit/>
        </w:trPr>
        <w:tc>
          <w:tcPr>
            <w:tcW w:type="dxa" w:w="2541"/>
            <w:vAlign w:val="center"/>
            <w:shd w:fill="FFFFFF"/>
          </w:tcPr>
          <w:p>
            <w:pPr>
              <w:spacing w:after="60"/>
            </w:pPr>
            <w:r>
              <w:rPr>
                <w:b/>
                <w:i/>
                <w:sz w:val="22"/>
              </w:rPr>
              <w:t>Species / cultivar / accession</w:t>
            </w:r>
          </w:p>
        </w:tc>
        <w:tc>
          <w:tcPr>
            <w:tcW w:type="dxa" w:w="2541"/>
            <w:vAlign w:val="center"/>
            <w:shd w:fill="FFFFFF"/>
          </w:tcPr>
          <w:p>
            <w:pPr>
              <w:spacing w:after="60"/>
            </w:pPr>
          </w:p>
        </w:tc>
        <w:tc>
          <w:tcPr>
            <w:tcW w:type="dxa" w:w="2541"/>
            <w:vAlign w:val="center"/>
            <w:shd w:fill="FFFFFF"/>
          </w:tcPr>
          <w:p>
            <w:pPr>
              <w:spacing w:after="60"/>
            </w:pPr>
            <w:r>
              <w:rPr>
                <w:b w:val="0"/>
                <w:i/>
                <w:sz w:val="22"/>
              </w:rPr>
              <w:t>Medium and container</w:t>
            </w:r>
          </w:p>
        </w:tc>
        <w:tc>
          <w:tcPr>
            <w:tcW w:type="dxa" w:w="2541"/>
            <w:vAlign w:val="center"/>
            <w:shd w:fill="FFFFFF"/>
          </w:tcPr>
          <w:p>
            <w:pPr>
              <w:spacing w:after="60"/>
            </w:pPr>
          </w:p>
        </w:tc>
      </w:tr>
      <w:tr>
        <w:trPr>
          <w:cantSplit/>
        </w:trPr>
        <w:tc>
          <w:tcPr>
            <w:tcW w:type="dxa" w:w="2541"/>
            <w:vAlign w:val="center"/>
            <w:shd w:fill="FFFFFF"/>
          </w:tcPr>
          <w:p>
            <w:pPr>
              <w:spacing w:after="60"/>
            </w:pPr>
            <w:r>
              <w:rPr>
                <w:b/>
                <w:i/>
                <w:sz w:val="22"/>
              </w:rPr>
              <w:t>Seed source and lot</w:t>
            </w:r>
          </w:p>
        </w:tc>
        <w:tc>
          <w:tcPr>
            <w:tcW w:type="dxa" w:w="2541"/>
            <w:vAlign w:val="center"/>
            <w:shd w:fill="FFFFFF"/>
          </w:tcPr>
          <w:p>
            <w:pPr>
              <w:spacing w:after="60"/>
            </w:pPr>
          </w:p>
        </w:tc>
        <w:tc>
          <w:tcPr>
            <w:tcW w:type="dxa" w:w="2541"/>
            <w:vAlign w:val="center"/>
            <w:shd w:fill="FFFFFF"/>
          </w:tcPr>
          <w:p>
            <w:pPr>
              <w:spacing w:after="60"/>
            </w:pPr>
            <w:r>
              <w:rPr>
                <w:b w:val="0"/>
                <w:i/>
                <w:sz w:val="22"/>
              </w:rPr>
              <w:t>Temperature / light regime</w:t>
            </w:r>
          </w:p>
        </w:tc>
        <w:tc>
          <w:tcPr>
            <w:tcW w:type="dxa" w:w="2541"/>
            <w:vAlign w:val="center"/>
            <w:shd w:fill="FFFFFF"/>
          </w:tcPr>
          <w:p>
            <w:pPr>
              <w:spacing w:after="60"/>
            </w:pPr>
          </w:p>
        </w:tc>
      </w:tr>
      <w:tr>
        <w:trPr>
          <w:cantSplit/>
        </w:trPr>
        <w:tc>
          <w:tcPr>
            <w:tcW w:type="dxa" w:w="2541"/>
            <w:vAlign w:val="center"/>
            <w:shd w:fill="FFFFFF"/>
          </w:tcPr>
          <w:p>
            <w:pPr>
              <w:spacing w:after="60"/>
            </w:pPr>
            <w:r>
              <w:rPr>
                <w:b/>
                <w:i/>
                <w:sz w:val="22"/>
              </w:rPr>
              <w:t>Collection or purchase date</w:t>
            </w:r>
          </w:p>
        </w:tc>
        <w:tc>
          <w:tcPr>
            <w:tcW w:type="dxa" w:w="2541"/>
            <w:vAlign w:val="center"/>
            <w:shd w:fill="FFFFFF"/>
          </w:tcPr>
          <w:p>
            <w:pPr>
              <w:spacing w:after="60"/>
            </w:pPr>
          </w:p>
        </w:tc>
        <w:tc>
          <w:tcPr>
            <w:tcW w:type="dxa" w:w="2541"/>
            <w:vAlign w:val="center"/>
            <w:shd w:fill="FFFFFF"/>
          </w:tcPr>
          <w:p>
            <w:pPr>
              <w:spacing w:after="60"/>
            </w:pPr>
            <w:r>
              <w:rPr>
                <w:b w:val="0"/>
                <w:i/>
                <w:sz w:val="22"/>
              </w:rPr>
              <w:t>First and final emergence dates</w:t>
            </w:r>
          </w:p>
        </w:tc>
        <w:tc>
          <w:tcPr>
            <w:tcW w:type="dxa" w:w="2541"/>
            <w:vAlign w:val="center"/>
            <w:shd w:fill="FFFFFF"/>
          </w:tcPr>
          <w:p>
            <w:pPr>
              <w:spacing w:after="60"/>
            </w:pPr>
          </w:p>
        </w:tc>
      </w:tr>
      <w:tr>
        <w:trPr>
          <w:cantSplit/>
        </w:trPr>
        <w:tc>
          <w:tcPr>
            <w:tcW w:type="dxa" w:w="2541"/>
            <w:vAlign w:val="center"/>
            <w:shd w:fill="FFFFFF"/>
          </w:tcPr>
          <w:p>
            <w:pPr>
              <w:spacing w:after="60"/>
            </w:pPr>
            <w:r>
              <w:rPr>
                <w:b/>
                <w:i/>
                <w:sz w:val="22"/>
              </w:rPr>
              <w:t>Pretreatment and dates</w:t>
            </w:r>
          </w:p>
        </w:tc>
        <w:tc>
          <w:tcPr>
            <w:tcW w:type="dxa" w:w="2541"/>
            <w:vAlign w:val="center"/>
            <w:shd w:fill="FFFFFF"/>
          </w:tcPr>
          <w:p>
            <w:pPr>
              <w:spacing w:after="60"/>
            </w:pPr>
          </w:p>
        </w:tc>
        <w:tc>
          <w:tcPr>
            <w:tcW w:type="dxa" w:w="2541"/>
            <w:vAlign w:val="center"/>
            <w:shd w:fill="FFFFFF"/>
          </w:tcPr>
          <w:p>
            <w:pPr>
              <w:spacing w:after="60"/>
            </w:pPr>
            <w:r>
              <w:rPr>
                <w:b w:val="0"/>
                <w:i/>
                <w:sz w:val="22"/>
              </w:rPr>
              <w:t>Normal seedlings / germination %</w:t>
            </w:r>
          </w:p>
        </w:tc>
        <w:tc>
          <w:tcPr>
            <w:tcW w:type="dxa" w:w="2541"/>
            <w:vAlign w:val="center"/>
            <w:shd w:fill="FFFFFF"/>
          </w:tcPr>
          <w:p>
            <w:pPr>
              <w:spacing w:after="60"/>
            </w:pPr>
          </w:p>
        </w:tc>
      </w:tr>
      <w:tr>
        <w:trPr>
          <w:cantSplit/>
        </w:trPr>
        <w:tc>
          <w:tcPr>
            <w:tcW w:type="dxa" w:w="2541"/>
            <w:vAlign w:val="center"/>
            <w:shd w:fill="FFFFFF"/>
          </w:tcPr>
          <w:p>
            <w:pPr>
              <w:spacing w:after="60"/>
            </w:pPr>
            <w:r>
              <w:rPr>
                <w:b/>
                <w:i/>
                <w:sz w:val="22"/>
              </w:rPr>
              <w:t>Sowing date and number sown</w:t>
            </w:r>
          </w:p>
        </w:tc>
        <w:tc>
          <w:tcPr>
            <w:tcW w:type="dxa" w:w="2541"/>
            <w:vAlign w:val="center"/>
            <w:shd w:fill="FFFFFF"/>
          </w:tcPr>
          <w:p>
            <w:pPr>
              <w:spacing w:after="60"/>
            </w:pPr>
          </w:p>
        </w:tc>
        <w:tc>
          <w:tcPr>
            <w:tcW w:type="dxa" w:w="2541"/>
            <w:vAlign w:val="center"/>
            <w:shd w:fill="FFFFFF"/>
          </w:tcPr>
          <w:p>
            <w:pPr>
              <w:spacing w:after="60"/>
            </w:pPr>
            <w:r>
              <w:rPr>
                <w:b w:val="0"/>
                <w:i/>
                <w:sz w:val="22"/>
              </w:rPr>
              <w:t>Observations and next change</w:t>
            </w:r>
          </w:p>
        </w:tc>
        <w:tc>
          <w:tcPr>
            <w:tcW w:type="dxa" w:w="2541"/>
            <w:vAlign w:val="center"/>
            <w:shd w:fill="FFFFFF"/>
          </w:tcPr>
          <w:p>
            <w:pPr>
              <w:spacing w:after="60"/>
            </w:pPr>
          </w:p>
        </w:tc>
      </w:tr>
    </w:tbl>
    <w:p>
      <w:pPr>
        <w:spacing w:after="20"/>
      </w:pPr>
    </w:p>
    <w:p>
      <w:pPr>
        <w:pStyle w:val="Heading2"/>
      </w:pPr>
      <w:r>
        <w:t>Selected Authoritative References</w:t>
      </w:r>
    </w:p>
    <w:p>
      <w:pPr>
        <w:pStyle w:val="ListBullet"/>
      </w:pPr>
      <w:r>
        <w:rPr>
          <w:b/>
          <w:i/>
        </w:rPr>
        <w:t>International Seed Testing Association (ISTA), International Rules for Seed Testing.</w:t>
      </w:r>
    </w:p>
    <w:p>
      <w:pPr>
        <w:pStyle w:val="ListBullet"/>
      </w:pPr>
      <w:r>
        <w:rPr>
          <w:b/>
          <w:i/>
        </w:rPr>
        <w:t>Association of Official Seed Analysts (AOSA), Rules for Testing Seeds.</w:t>
      </w:r>
    </w:p>
    <w:p>
      <w:pPr>
        <w:pStyle w:val="ListBullet"/>
      </w:pPr>
      <w:r>
        <w:rPr>
          <w:b/>
          <w:i/>
        </w:rPr>
        <w:t>USDA Forest Service, Woody Plant Seed Manual (Agriculture Handbook 727).</w:t>
      </w:r>
    </w:p>
    <w:p>
      <w:pPr>
        <w:pStyle w:val="ListBullet"/>
      </w:pPr>
      <w:r>
        <w:rPr>
          <w:b/>
          <w:i/>
        </w:rPr>
        <w:t>Baskin, C. C. and Baskin, J. M., Seeds: Ecology, Biogeography, and Evolution of Dormancy and Germination.</w:t>
      </w:r>
    </w:p>
    <w:p>
      <w:pPr>
        <w:pStyle w:val="ListBullet"/>
      </w:pPr>
      <w:r>
        <w:rPr>
          <w:b/>
          <w:i/>
        </w:rPr>
        <w:t>Use university Extension or botanic-garden propagation guidance for the exact species.</w:t>
      </w:r>
    </w:p>
    <w:p>
      <w:r>
        <w:rPr>
          <w:b w:val="0"/>
          <w:i w:val="0"/>
        </w:rPr>
        <w:t xml:space="preserve">Added September 22, 2026 · </w:t>
      </w:r>
      <w:hyperlink r:id="rId16">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7">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guides/seed-germination-protocols/" TargetMode="External"/><Relationship Id="rId12" Type="http://schemas.openxmlformats.org/officeDocument/2006/relationships/hyperlink" Target="https://doi.org/10.1086/650159" TargetMode="External"/><Relationship Id="rId13" Type="http://schemas.openxmlformats.org/officeDocument/2006/relationships/hyperlink" Target="https://www.piedmontmastergardeners.org/article/anise-hyssop/" TargetMode="External"/><Relationship Id="rId14" Type="http://schemas.openxmlformats.org/officeDocument/2006/relationships/hyperlink" Target="https://www.wildflower.org/plants/result.php?id_plant=cola5" TargetMode="External"/><Relationship Id="rId15" Type="http://schemas.openxmlformats.org/officeDocument/2006/relationships/hyperlink" Target="https://www.youtube.com/watch?v=w77zPAtVTuI" TargetMode="External"/><Relationship Id="rId16" Type="http://schemas.openxmlformats.org/officeDocument/2006/relationships/hyperlink" Target="https://planteducationproject.com/information-sheets/master-index/" TargetMode="External"/><Relationship Id="rId17"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guides seed germination protocols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