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Prairie Moon Germination Codes</w:t>
      </w:r>
    </w:p>
    <w:p>
      <w:pPr>
        <w:spacing w:after="320"/>
      </w:pPr>
      <w:r>
        <w:t>Combined Information Sheets</w:t>
      </w:r>
    </w:p>
    <w:p>
      <w:pPr>
        <w:pStyle w:val="Heading1"/>
      </w:pPr>
      <w:r>
        <w:t>Prairie Moon Germination Codes</w:t>
      </w:r>
    </w:p>
    <w:p>
      <w:r>
        <w:rPr>
          <w:b/>
        </w:rPr>
        <w:t xml:space="preserve">Online Information Sheet: </w:t>
      </w:r>
      <w:hyperlink r:id="rId11">
        <w:r>
          <w:rPr>
            <w:color w:val="245B43"/>
            <w:u w:val="single"/>
          </w:rPr>
          <w:t>planteducationproject.com/guides/prairie-moon-germination-codes/</w:t>
        </w:r>
      </w:hyperlink>
    </w:p>
    <w:p>
      <w:r>
        <w:rPr>
          <w:b w:val="0"/>
          <w:i w:val="0"/>
        </w:rPr>
        <w:t>🌿 Information Sheet</w:t>
      </w:r>
    </w:p>
    <w:p>
      <w:pPr>
        <w:pStyle w:val="Heading2"/>
      </w:pPr>
      <w:r>
        <w:t>GERMINATION CODES FOR PERENNIALS</w:t>
      </w:r>
    </w:p>
    <w:p>
      <w:pPr>
        <w:pStyle w:val="Heading2"/>
      </w:pPr>
      <w:r>
        <w:t>Purpose and Scope</w:t>
      </w:r>
    </w:p>
    <w:p>
      <w:r>
        <w:rPr>
          <w:b w:val="0"/>
          <w:i w:val="0"/>
        </w:rPr>
        <w:t>Prairie Moon Nursery assigns germination codes to native seed packets and catalog listings. The codes describe dormancy-breaking treatments, sowing conditions, and special biological requirements. They are especially useful for perennial native plants, whose seeds often wait through one or more seasonal cycles before germinating.</w:t>
      </w:r>
    </w:p>
    <w:p>
      <w:r>
        <w:rPr>
          <w:b/>
          <w:i/>
        </w:rPr>
        <w:t xml:space="preserve">Important: </w:t>
      </w:r>
      <w:r>
        <w:rPr>
          <w:b/>
          <w:i/>
        </w:rPr>
        <w:t>Use the code printed on the exact seed packet or current species listing. Codes may be combined, and the species-specific listing overrides this summary.</w:t>
      </w:r>
    </w:p>
    <w:p>
      <w:pPr>
        <w:pStyle w:val="Heading2"/>
      </w:pPr>
      <w:r>
        <w:t>Complete Code Reference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Code</w:t>
            </w:r>
          </w:p>
        </w:tc>
        <w:tc>
          <w:tcPr>
            <w:tcW w:type="dxa" w:w="3389"/>
            <w:vAlign w:val="center"/>
            <w:shd w:fill="E9EDF0"/>
          </w:tcPr>
          <w:p>
            <w:pPr>
              <w:spacing w:after="60"/>
            </w:pPr>
            <w:r>
              <w:rPr>
                <w:b/>
                <w:i/>
                <w:sz w:val="22"/>
              </w:rPr>
              <w:t>Meaning</w:t>
            </w:r>
          </w:p>
        </w:tc>
        <w:tc>
          <w:tcPr>
            <w:tcW w:type="dxa" w:w="3389"/>
            <w:vAlign w:val="center"/>
            <w:shd w:fill="E9EDF0"/>
          </w:tcPr>
          <w:p>
            <w:pPr>
              <w:spacing w:after="60"/>
            </w:pPr>
            <w:r>
              <w:rPr>
                <w:b/>
                <w:i/>
                <w:sz w:val="22"/>
              </w:rPr>
              <w:t>What to do</w:t>
            </w:r>
          </w:p>
        </w:tc>
      </w:tr>
      <w:tr>
        <w:trPr>
          <w:cantSplit/>
        </w:trPr>
        <w:tc>
          <w:tcPr>
            <w:tcW w:type="dxa" w:w="3389"/>
            <w:vAlign w:val="center"/>
            <w:shd w:fill="FFFFFF"/>
          </w:tcPr>
          <w:p>
            <w:pPr>
              <w:spacing w:after="60"/>
            </w:pPr>
            <w:r>
              <w:rPr>
                <w:b/>
                <w:i/>
                <w:sz w:val="22"/>
              </w:rPr>
              <w:t>A</w:t>
            </w:r>
          </w:p>
        </w:tc>
        <w:tc>
          <w:tcPr>
            <w:tcW w:type="dxa" w:w="3389"/>
            <w:vAlign w:val="center"/>
            <w:shd w:fill="FFFFFF"/>
          </w:tcPr>
          <w:p>
            <w:pPr>
              <w:spacing w:after="60"/>
            </w:pPr>
            <w:r>
              <w:rPr>
                <w:b w:val="0"/>
                <w:i/>
                <w:sz w:val="22"/>
              </w:rPr>
              <w:t>No pretreatment</w:t>
            </w:r>
          </w:p>
        </w:tc>
        <w:tc>
          <w:tcPr>
            <w:tcW w:type="dxa" w:w="3389"/>
            <w:vAlign w:val="center"/>
            <w:shd w:fill="FFFFFF"/>
          </w:tcPr>
          <w:p>
            <w:pPr>
              <w:spacing w:after="60"/>
            </w:pPr>
            <w:r>
              <w:rPr>
                <w:b w:val="0"/>
                <w:i/>
                <w:sz w:val="22"/>
              </w:rPr>
              <w:t>Sow in a warm location; seed should germinate without dormancy treatment.</w:t>
            </w:r>
          </w:p>
        </w:tc>
      </w:tr>
      <w:tr>
        <w:trPr>
          <w:cantSplit/>
        </w:trPr>
        <w:tc>
          <w:tcPr>
            <w:tcW w:type="dxa" w:w="3389"/>
            <w:vAlign w:val="center"/>
            <w:shd w:fill="FFFFFF"/>
          </w:tcPr>
          <w:p>
            <w:pPr>
              <w:spacing w:after="60"/>
            </w:pPr>
            <w:r>
              <w:rPr>
                <w:b/>
                <w:i/>
                <w:sz w:val="22"/>
              </w:rPr>
              <w:t>B</w:t>
            </w:r>
          </w:p>
        </w:tc>
        <w:tc>
          <w:tcPr>
            <w:tcW w:type="dxa" w:w="3389"/>
            <w:vAlign w:val="center"/>
            <w:shd w:fill="FFFFFF"/>
          </w:tcPr>
          <w:p>
            <w:pPr>
              <w:spacing w:after="60"/>
            </w:pPr>
            <w:r>
              <w:rPr>
                <w:b w:val="0"/>
                <w:i/>
                <w:sz w:val="22"/>
              </w:rPr>
              <w:t>Hot-water treatment</w:t>
            </w:r>
          </w:p>
        </w:tc>
        <w:tc>
          <w:tcPr>
            <w:tcW w:type="dxa" w:w="3389"/>
            <w:vAlign w:val="center"/>
            <w:shd w:fill="FFFFFF"/>
          </w:tcPr>
          <w:p>
            <w:pPr>
              <w:spacing w:after="60"/>
            </w:pPr>
            <w:r>
              <w:rPr>
                <w:b w:val="0"/>
                <w:i/>
                <w:sz w:val="22"/>
              </w:rPr>
              <w:t>Boil water, remove from heat, pour over seed, soak 24 hours at room temperature, drain, then continue with Code C when assigned.</w:t>
            </w:r>
          </w:p>
        </w:tc>
      </w:tr>
      <w:tr>
        <w:trPr>
          <w:cantSplit/>
        </w:trPr>
        <w:tc>
          <w:tcPr>
            <w:tcW w:type="dxa" w:w="3389"/>
            <w:vAlign w:val="center"/>
            <w:shd w:fill="FFFFFF"/>
          </w:tcPr>
          <w:p>
            <w:pPr>
              <w:spacing w:after="60"/>
            </w:pPr>
            <w:r>
              <w:rPr>
                <w:b/>
                <w:i/>
                <w:sz w:val="22"/>
              </w:rPr>
              <w:t>C(#)</w:t>
            </w:r>
          </w:p>
        </w:tc>
        <w:tc>
          <w:tcPr>
            <w:tcW w:type="dxa" w:w="3389"/>
            <w:vAlign w:val="center"/>
            <w:shd w:fill="FFFFFF"/>
          </w:tcPr>
          <w:p>
            <w:pPr>
              <w:spacing w:after="60"/>
            </w:pPr>
            <w:r>
              <w:rPr>
                <w:b w:val="0"/>
                <w:i/>
                <w:sz w:val="22"/>
              </w:rPr>
              <w:t>Cold-moist stratification</w:t>
            </w:r>
          </w:p>
        </w:tc>
        <w:tc>
          <w:tcPr>
            <w:tcW w:type="dxa" w:w="3389"/>
            <w:vAlign w:val="center"/>
            <w:shd w:fill="FFFFFF"/>
          </w:tcPr>
          <w:p>
            <w:pPr>
              <w:spacing w:after="60"/>
            </w:pPr>
            <w:r>
              <w:rPr>
                <w:b w:val="0"/>
                <w:i/>
                <w:sz w:val="22"/>
              </w:rPr>
              <w:t>Keep seed damp—not wet—at 33–40°F for the number of days in parentheses; C(60) means 60 days.</w:t>
            </w:r>
          </w:p>
        </w:tc>
      </w:tr>
      <w:tr>
        <w:trPr>
          <w:cantSplit/>
        </w:trPr>
        <w:tc>
          <w:tcPr>
            <w:tcW w:type="dxa" w:w="3389"/>
            <w:vAlign w:val="center"/>
            <w:shd w:fill="FFFFFF"/>
          </w:tcPr>
          <w:p>
            <w:pPr>
              <w:spacing w:after="60"/>
            </w:pPr>
            <w:r>
              <w:rPr>
                <w:b/>
                <w:i/>
                <w:sz w:val="22"/>
              </w:rPr>
              <w:t>D</w:t>
            </w:r>
          </w:p>
        </w:tc>
        <w:tc>
          <w:tcPr>
            <w:tcW w:type="dxa" w:w="3389"/>
            <w:vAlign w:val="center"/>
            <w:shd w:fill="FFFFFF"/>
          </w:tcPr>
          <w:p>
            <w:pPr>
              <w:spacing w:after="60"/>
            </w:pPr>
            <w:r>
              <w:rPr>
                <w:b w:val="0"/>
                <w:i/>
                <w:sz w:val="22"/>
              </w:rPr>
              <w:t>Surface sow / light needed</w:t>
            </w:r>
          </w:p>
        </w:tc>
        <w:tc>
          <w:tcPr>
            <w:tcW w:type="dxa" w:w="3389"/>
            <w:vAlign w:val="center"/>
            <w:shd w:fill="FFFFFF"/>
          </w:tcPr>
          <w:p>
            <w:pPr>
              <w:spacing w:after="60"/>
            </w:pPr>
            <w:r>
              <w:rPr>
                <w:b w:val="0"/>
                <w:i/>
                <w:sz w:val="22"/>
              </w:rPr>
              <w:t>Do not cover, or apply only a dusting. Maintain surface moisture; bottom-water containers.</w:t>
            </w:r>
          </w:p>
        </w:tc>
      </w:tr>
      <w:tr>
        <w:trPr>
          <w:cantSplit/>
        </w:trPr>
        <w:tc>
          <w:tcPr>
            <w:tcW w:type="dxa" w:w="3389"/>
            <w:vAlign w:val="center"/>
            <w:shd w:fill="FFFFFF"/>
          </w:tcPr>
          <w:p>
            <w:pPr>
              <w:spacing w:after="60"/>
            </w:pPr>
            <w:r>
              <w:rPr>
                <w:b/>
                <w:i/>
                <w:sz w:val="22"/>
              </w:rPr>
              <w:t>E</w:t>
            </w:r>
          </w:p>
        </w:tc>
        <w:tc>
          <w:tcPr>
            <w:tcW w:type="dxa" w:w="3389"/>
            <w:vAlign w:val="center"/>
            <w:shd w:fill="FFFFFF"/>
          </w:tcPr>
          <w:p>
            <w:pPr>
              <w:spacing w:after="60"/>
            </w:pPr>
            <w:r>
              <w:rPr>
                <w:b w:val="0"/>
                <w:i/>
                <w:sz w:val="22"/>
              </w:rPr>
              <w:t>Warm-moist, then cold-moist</w:t>
            </w:r>
          </w:p>
        </w:tc>
        <w:tc>
          <w:tcPr>
            <w:tcW w:type="dxa" w:w="3389"/>
            <w:vAlign w:val="center"/>
            <w:shd w:fill="FFFFFF"/>
          </w:tcPr>
          <w:p>
            <w:pPr>
              <w:spacing w:after="60"/>
            </w:pPr>
            <w:r>
              <w:rPr>
                <w:b w:val="0"/>
                <w:i/>
                <w:sz w:val="22"/>
              </w:rPr>
              <w:t>About 80°F for 60–90 days, then 33–40°F for 60–90 days; outdoor spring sowing may take a full year.</w:t>
            </w:r>
          </w:p>
        </w:tc>
      </w:tr>
      <w:tr>
        <w:trPr>
          <w:cantSplit/>
        </w:trPr>
        <w:tc>
          <w:tcPr>
            <w:tcW w:type="dxa" w:w="3389"/>
            <w:vAlign w:val="center"/>
            <w:shd w:fill="FFFFFF"/>
          </w:tcPr>
          <w:p>
            <w:pPr>
              <w:spacing w:after="60"/>
            </w:pPr>
            <w:r>
              <w:rPr>
                <w:b/>
                <w:i/>
                <w:sz w:val="22"/>
              </w:rPr>
              <w:t>F</w:t>
            </w:r>
          </w:p>
        </w:tc>
        <w:tc>
          <w:tcPr>
            <w:tcW w:type="dxa" w:w="3389"/>
            <w:vAlign w:val="center"/>
            <w:shd w:fill="FFFFFF"/>
          </w:tcPr>
          <w:p>
            <w:pPr>
              <w:spacing w:after="60"/>
            </w:pPr>
            <w:r>
              <w:rPr>
                <w:b w:val="0"/>
                <w:i/>
                <w:sz w:val="22"/>
              </w:rPr>
              <w:t>Cold-warm-cold sequence</w:t>
            </w:r>
          </w:p>
        </w:tc>
        <w:tc>
          <w:tcPr>
            <w:tcW w:type="dxa" w:w="3389"/>
            <w:vAlign w:val="center"/>
            <w:shd w:fill="FFFFFF"/>
          </w:tcPr>
          <w:p>
            <w:pPr>
              <w:spacing w:after="60"/>
            </w:pPr>
            <w:r>
              <w:rPr>
                <w:b w:val="0"/>
                <w:i/>
                <w:sz w:val="22"/>
              </w:rPr>
              <w:t>Cold-moist 60–90 days, warm-moist 60–90 days, then a second cold-moist period; outdoor germination may require two years or longer.</w:t>
            </w:r>
          </w:p>
        </w:tc>
      </w:tr>
      <w:tr>
        <w:trPr>
          <w:cantSplit/>
        </w:trPr>
        <w:tc>
          <w:tcPr>
            <w:tcW w:type="dxa" w:w="3389"/>
            <w:vAlign w:val="center"/>
            <w:shd w:fill="FFFFFF"/>
          </w:tcPr>
          <w:p>
            <w:pPr>
              <w:spacing w:after="60"/>
            </w:pPr>
            <w:r>
              <w:rPr>
                <w:b/>
                <w:i/>
                <w:sz w:val="22"/>
              </w:rPr>
              <w:t>G</w:t>
            </w:r>
          </w:p>
        </w:tc>
        <w:tc>
          <w:tcPr>
            <w:tcW w:type="dxa" w:w="3389"/>
            <w:vAlign w:val="center"/>
            <w:shd w:fill="FFFFFF"/>
          </w:tcPr>
          <w:p>
            <w:pPr>
              <w:spacing w:after="60"/>
            </w:pPr>
            <w:r>
              <w:rPr>
                <w:b w:val="0"/>
                <w:i/>
                <w:sz w:val="22"/>
              </w:rPr>
              <w:t>Cool-soil germination</w:t>
            </w:r>
          </w:p>
        </w:tc>
        <w:tc>
          <w:tcPr>
            <w:tcW w:type="dxa" w:w="3389"/>
            <w:vAlign w:val="center"/>
            <w:shd w:fill="FFFFFF"/>
          </w:tcPr>
          <w:p>
            <w:pPr>
              <w:spacing w:after="60"/>
            </w:pPr>
            <w:r>
              <w:rPr>
                <w:b w:val="0"/>
                <w:i/>
                <w:sz w:val="22"/>
              </w:rPr>
              <w:t>Sow outdoors after a hard frost in late fall or in early spring.</w:t>
            </w:r>
          </w:p>
        </w:tc>
      </w:tr>
      <w:tr>
        <w:trPr>
          <w:cantSplit/>
        </w:trPr>
        <w:tc>
          <w:tcPr>
            <w:tcW w:type="dxa" w:w="3389"/>
            <w:vAlign w:val="center"/>
            <w:shd w:fill="FFFFFF"/>
          </w:tcPr>
          <w:p>
            <w:pPr>
              <w:spacing w:after="60"/>
            </w:pPr>
            <w:r>
              <w:rPr>
                <w:b/>
                <w:i/>
                <w:sz w:val="22"/>
              </w:rPr>
              <w:t>H</w:t>
            </w:r>
          </w:p>
        </w:tc>
        <w:tc>
          <w:tcPr>
            <w:tcW w:type="dxa" w:w="3389"/>
            <w:vAlign w:val="center"/>
            <w:shd w:fill="FFFFFF"/>
          </w:tcPr>
          <w:p>
            <w:pPr>
              <w:spacing w:after="60"/>
            </w:pPr>
            <w:r>
              <w:rPr>
                <w:b w:val="0"/>
                <w:i/>
                <w:sz w:val="22"/>
              </w:rPr>
              <w:t>Scarification</w:t>
            </w:r>
          </w:p>
        </w:tc>
        <w:tc>
          <w:tcPr>
            <w:tcW w:type="dxa" w:w="3389"/>
            <w:vAlign w:val="center"/>
            <w:shd w:fill="FFFFFF"/>
          </w:tcPr>
          <w:p>
            <w:pPr>
              <w:spacing w:after="60"/>
            </w:pPr>
            <w:r>
              <w:rPr>
                <w:b w:val="0"/>
                <w:i/>
                <w:sz w:val="22"/>
              </w:rPr>
              <w:t>Abrade the coat with medium-grit sandpaper without crushing seed. Do before Code C when both apply; do not scarify fall/winter-sown seed.</w:t>
            </w:r>
          </w:p>
        </w:tc>
      </w:tr>
      <w:tr>
        <w:trPr>
          <w:cantSplit/>
        </w:trPr>
        <w:tc>
          <w:tcPr>
            <w:tcW w:type="dxa" w:w="3389"/>
            <w:vAlign w:val="center"/>
            <w:shd w:fill="FFFFFF"/>
          </w:tcPr>
          <w:p>
            <w:pPr>
              <w:spacing w:after="60"/>
            </w:pPr>
            <w:r>
              <w:rPr>
                <w:b/>
                <w:i/>
                <w:sz w:val="22"/>
              </w:rPr>
              <w:t>I</w:t>
            </w:r>
          </w:p>
        </w:tc>
        <w:tc>
          <w:tcPr>
            <w:tcW w:type="dxa" w:w="3389"/>
            <w:vAlign w:val="center"/>
            <w:shd w:fill="FFFFFF"/>
          </w:tcPr>
          <w:p>
            <w:pPr>
              <w:spacing w:after="60"/>
            </w:pPr>
            <w:r>
              <w:rPr>
                <w:b w:val="0"/>
                <w:i/>
                <w:sz w:val="22"/>
              </w:rPr>
              <w:t>Legume / rhizobia note</w:t>
            </w:r>
          </w:p>
        </w:tc>
        <w:tc>
          <w:tcPr>
            <w:tcW w:type="dxa" w:w="3389"/>
            <w:vAlign w:val="center"/>
            <w:shd w:fill="FFFFFF"/>
          </w:tcPr>
          <w:p>
            <w:pPr>
              <w:spacing w:after="60"/>
            </w:pPr>
            <w:r>
              <w:rPr>
                <w:b w:val="0"/>
                <w:i/>
                <w:sz w:val="22"/>
              </w:rPr>
              <w:t>A pea-family plant. Genus-specific inoculum may aid long-term nitrogen fixation, although compatible rhizobia occur naturally in many soils.</w:t>
            </w:r>
          </w:p>
        </w:tc>
      </w:tr>
      <w:tr>
        <w:trPr>
          <w:cantSplit/>
        </w:trPr>
        <w:tc>
          <w:tcPr>
            <w:tcW w:type="dxa" w:w="3389"/>
            <w:vAlign w:val="center"/>
            <w:shd w:fill="FFFFFF"/>
          </w:tcPr>
          <w:p>
            <w:pPr>
              <w:spacing w:after="60"/>
            </w:pPr>
            <w:r>
              <w:rPr>
                <w:b/>
                <w:i/>
                <w:sz w:val="22"/>
              </w:rPr>
              <w:t>J</w:t>
            </w:r>
          </w:p>
        </w:tc>
        <w:tc>
          <w:tcPr>
            <w:tcW w:type="dxa" w:w="3389"/>
            <w:vAlign w:val="center"/>
            <w:shd w:fill="FFFFFF"/>
          </w:tcPr>
          <w:p>
            <w:pPr>
              <w:spacing w:after="60"/>
            </w:pPr>
            <w:r>
              <w:rPr>
                <w:b w:val="0"/>
                <w:i/>
                <w:sz w:val="22"/>
              </w:rPr>
              <w:t>Dehulled legume seed</w:t>
            </w:r>
          </w:p>
        </w:tc>
        <w:tc>
          <w:tcPr>
            <w:tcW w:type="dxa" w:w="3389"/>
            <w:vAlign w:val="center"/>
            <w:shd w:fill="FFFFFF"/>
          </w:tcPr>
          <w:p>
            <w:pPr>
              <w:spacing w:after="60"/>
            </w:pPr>
            <w:r>
              <w:rPr>
                <w:b w:val="0"/>
                <w:i/>
                <w:sz w:val="22"/>
              </w:rPr>
              <w:t>Prairie Moon removed hulls to improve germination. Dehulled seed obtained elsewhere is treated as Code H.</w:t>
            </w:r>
          </w:p>
        </w:tc>
      </w:tr>
      <w:tr>
        <w:trPr>
          <w:cantSplit/>
        </w:trPr>
        <w:tc>
          <w:tcPr>
            <w:tcW w:type="dxa" w:w="3389"/>
            <w:vAlign w:val="center"/>
            <w:shd w:fill="FFFFFF"/>
          </w:tcPr>
          <w:p>
            <w:pPr>
              <w:spacing w:after="60"/>
            </w:pPr>
            <w:r>
              <w:rPr>
                <w:b/>
                <w:i/>
                <w:sz w:val="22"/>
              </w:rPr>
              <w:t>K</w:t>
            </w:r>
          </w:p>
        </w:tc>
        <w:tc>
          <w:tcPr>
            <w:tcW w:type="dxa" w:w="3389"/>
            <w:vAlign w:val="center"/>
            <w:shd w:fill="FFFFFF"/>
          </w:tcPr>
          <w:p>
            <w:pPr>
              <w:spacing w:after="60"/>
            </w:pPr>
            <w:r>
              <w:rPr>
                <w:b w:val="0"/>
                <w:i/>
                <w:sz w:val="22"/>
              </w:rPr>
              <w:t>Hemiparasite needs host</w:t>
            </w:r>
          </w:p>
        </w:tc>
        <w:tc>
          <w:tcPr>
            <w:tcW w:type="dxa" w:w="3389"/>
            <w:vAlign w:val="center"/>
            <w:shd w:fill="FFFFFF"/>
          </w:tcPr>
          <w:p>
            <w:pPr>
              <w:spacing w:after="60"/>
            </w:pPr>
            <w:r>
              <w:rPr>
                <w:b w:val="0"/>
                <w:i/>
                <w:sz w:val="22"/>
              </w:rPr>
              <w:t>Sow at or near suitable host roots, no deeper than 1/8 inch. Low grasses and sedges are often useful hosts.</w:t>
            </w:r>
          </w:p>
        </w:tc>
      </w:tr>
      <w:tr>
        <w:trPr>
          <w:cantSplit/>
        </w:trPr>
        <w:tc>
          <w:tcPr>
            <w:tcW w:type="dxa" w:w="3389"/>
            <w:vAlign w:val="center"/>
            <w:shd w:fill="FFFFFF"/>
          </w:tcPr>
          <w:p>
            <w:pPr>
              <w:spacing w:after="60"/>
            </w:pPr>
            <w:r>
              <w:rPr>
                <w:b/>
                <w:i/>
                <w:sz w:val="22"/>
              </w:rPr>
              <w:t>L</w:t>
            </w:r>
          </w:p>
        </w:tc>
        <w:tc>
          <w:tcPr>
            <w:tcW w:type="dxa" w:w="3389"/>
            <w:vAlign w:val="center"/>
            <w:shd w:fill="FFFFFF"/>
          </w:tcPr>
          <w:p>
            <w:pPr>
              <w:spacing w:after="60"/>
            </w:pPr>
            <w:r>
              <w:rPr>
                <w:b w:val="0"/>
                <w:i/>
                <w:sz w:val="22"/>
              </w:rPr>
              <w:t>Plant fresh or keep moist</w:t>
            </w:r>
          </w:p>
        </w:tc>
        <w:tc>
          <w:tcPr>
            <w:tcW w:type="dxa" w:w="3389"/>
            <w:vAlign w:val="center"/>
            <w:shd w:fill="FFFFFF"/>
          </w:tcPr>
          <w:p>
            <w:pPr>
              <w:spacing w:after="60"/>
            </w:pPr>
            <w:r>
              <w:rPr>
                <w:b w:val="0"/>
                <w:i/>
                <w:sz w:val="22"/>
              </w:rPr>
              <w:t>Do not dry-store. Refrigerate until planting or until another assigned treatment begins.</w:t>
            </w:r>
          </w:p>
        </w:tc>
      </w:tr>
      <w:tr>
        <w:trPr>
          <w:cantSplit/>
        </w:trPr>
        <w:tc>
          <w:tcPr>
            <w:tcW w:type="dxa" w:w="3389"/>
            <w:vAlign w:val="center"/>
            <w:shd w:fill="FFFFFF"/>
          </w:tcPr>
          <w:p>
            <w:pPr>
              <w:spacing w:after="60"/>
            </w:pPr>
            <w:r>
              <w:rPr>
                <w:b/>
                <w:i/>
                <w:sz w:val="22"/>
              </w:rPr>
              <w:t>M</w:t>
            </w:r>
          </w:p>
        </w:tc>
        <w:tc>
          <w:tcPr>
            <w:tcW w:type="dxa" w:w="3389"/>
            <w:vAlign w:val="center"/>
            <w:shd w:fill="FFFFFF"/>
          </w:tcPr>
          <w:p>
            <w:pPr>
              <w:spacing w:after="60"/>
            </w:pPr>
            <w:r>
              <w:rPr>
                <w:b w:val="0"/>
                <w:i/>
                <w:sz w:val="22"/>
              </w:rPr>
              <w:t>Fall outdoor sowing best</w:t>
            </w:r>
          </w:p>
        </w:tc>
        <w:tc>
          <w:tcPr>
            <w:tcW w:type="dxa" w:w="3389"/>
            <w:vAlign w:val="center"/>
            <w:shd w:fill="FFFFFF"/>
          </w:tcPr>
          <w:p>
            <w:pPr>
              <w:spacing w:after="60"/>
            </w:pPr>
            <w:r>
              <w:rPr>
                <w:b w:val="0"/>
                <w:i/>
                <w:sz w:val="22"/>
              </w:rPr>
              <w:t>Artificial stratification may be unreliable; expose seed to natural outdoor conditions.</w:t>
            </w:r>
          </w:p>
        </w:tc>
      </w:tr>
      <w:tr>
        <w:trPr>
          <w:cantSplit/>
        </w:trPr>
        <w:tc>
          <w:tcPr>
            <w:tcW w:type="dxa" w:w="3389"/>
            <w:vAlign w:val="center"/>
            <w:shd w:fill="FFFFFF"/>
          </w:tcPr>
          <w:p>
            <w:pPr>
              <w:spacing w:after="60"/>
            </w:pPr>
            <w:r>
              <w:rPr>
                <w:b/>
                <w:i/>
                <w:sz w:val="22"/>
              </w:rPr>
              <w:t>O</w:t>
            </w:r>
          </w:p>
        </w:tc>
        <w:tc>
          <w:tcPr>
            <w:tcW w:type="dxa" w:w="3389"/>
            <w:vAlign w:val="center"/>
            <w:shd w:fill="FFFFFF"/>
          </w:tcPr>
          <w:p>
            <w:pPr>
              <w:spacing w:after="60"/>
            </w:pPr>
            <w:r>
              <w:rPr>
                <w:b w:val="0"/>
                <w:i/>
                <w:sz w:val="22"/>
              </w:rPr>
              <w:t>Impermeable coat</w:t>
            </w:r>
          </w:p>
        </w:tc>
        <w:tc>
          <w:tcPr>
            <w:tcW w:type="dxa" w:w="3389"/>
            <w:vAlign w:val="center"/>
            <w:shd w:fill="FFFFFF"/>
          </w:tcPr>
          <w:p>
            <w:pPr>
              <w:spacing w:after="60"/>
            </w:pPr>
            <w:r>
              <w:rPr>
                <w:b w:val="0"/>
                <w:i/>
                <w:sz w:val="22"/>
              </w:rPr>
              <w:t>Nick the seed coat carefully and soak overnight before planting.</w:t>
            </w:r>
          </w:p>
        </w:tc>
      </w:tr>
      <w:tr>
        <w:trPr>
          <w:cantSplit/>
        </w:trPr>
        <w:tc>
          <w:tcPr>
            <w:tcW w:type="dxa" w:w="3389"/>
            <w:vAlign w:val="center"/>
            <w:shd w:fill="FFFFFF"/>
          </w:tcPr>
          <w:p>
            <w:pPr>
              <w:spacing w:after="60"/>
            </w:pPr>
            <w:r>
              <w:rPr>
                <w:b/>
                <w:i/>
                <w:sz w:val="22"/>
              </w:rPr>
              <w:t>?</w:t>
            </w:r>
          </w:p>
        </w:tc>
        <w:tc>
          <w:tcPr>
            <w:tcW w:type="dxa" w:w="3389"/>
            <w:vAlign w:val="center"/>
            <w:shd w:fill="FFFFFF"/>
          </w:tcPr>
          <w:p>
            <w:pPr>
              <w:spacing w:after="60"/>
            </w:pPr>
            <w:r>
              <w:rPr>
                <w:b w:val="0"/>
                <w:i/>
                <w:sz w:val="22"/>
              </w:rPr>
              <w:t>Requirements uncertain</w:t>
            </w:r>
          </w:p>
        </w:tc>
        <w:tc>
          <w:tcPr>
            <w:tcW w:type="dxa" w:w="3389"/>
            <w:vAlign w:val="center"/>
            <w:shd w:fill="FFFFFF"/>
          </w:tcPr>
          <w:p>
            <w:pPr>
              <w:spacing w:after="60"/>
            </w:pPr>
            <w:r>
              <w:rPr>
                <w:b w:val="0"/>
                <w:i/>
                <w:sz w:val="22"/>
              </w:rPr>
              <w:t>Prairie Moon reports that the best germination method is not yet certain and welcomes grower observations.</w:t>
            </w:r>
          </w:p>
        </w:tc>
      </w:tr>
    </w:tbl>
    <w:p>
      <w:pPr>
        <w:spacing w:after="20"/>
      </w:pPr>
    </w:p>
    <w:p>
      <w:pPr>
        <w:pStyle w:val="Heading2"/>
      </w:pPr>
      <w:r>
        <w:t>How to Read Combined Codes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Packet code</w:t>
            </w:r>
          </w:p>
        </w:tc>
        <w:tc>
          <w:tcPr>
            <w:tcW w:type="dxa" w:w="3389"/>
            <w:vAlign w:val="center"/>
            <w:shd w:fill="E9EDF0"/>
          </w:tcPr>
          <w:p>
            <w:pPr>
              <w:spacing w:after="60"/>
            </w:pPr>
            <w:r>
              <w:rPr>
                <w:b/>
                <w:i/>
                <w:sz w:val="22"/>
              </w:rPr>
              <w:t>Plain-language reading</w:t>
            </w:r>
          </w:p>
        </w:tc>
        <w:tc>
          <w:tcPr>
            <w:tcW w:type="dxa" w:w="3389"/>
            <w:vAlign w:val="center"/>
            <w:shd w:fill="E9EDF0"/>
          </w:tcPr>
          <w:p>
            <w:pPr>
              <w:spacing w:after="60"/>
            </w:pPr>
            <w:r>
              <w:rPr>
                <w:b/>
                <w:i/>
                <w:sz w:val="22"/>
              </w:rPr>
              <w:t>Practical sequence</w:t>
            </w:r>
          </w:p>
        </w:tc>
      </w:tr>
      <w:tr>
        <w:trPr>
          <w:cantSplit/>
        </w:trPr>
        <w:tc>
          <w:tcPr>
            <w:tcW w:type="dxa" w:w="3389"/>
            <w:vAlign w:val="center"/>
            <w:shd w:fill="FFFFFF"/>
          </w:tcPr>
          <w:p>
            <w:pPr>
              <w:spacing w:after="60"/>
            </w:pPr>
            <w:r>
              <w:rPr>
                <w:b/>
                <w:i/>
                <w:sz w:val="22"/>
              </w:rPr>
              <w:t>C(60), D</w:t>
            </w:r>
          </w:p>
        </w:tc>
        <w:tc>
          <w:tcPr>
            <w:tcW w:type="dxa" w:w="3389"/>
            <w:vAlign w:val="center"/>
            <w:shd w:fill="FFFFFF"/>
          </w:tcPr>
          <w:p>
            <w:pPr>
              <w:spacing w:after="60"/>
            </w:pPr>
            <w:r>
              <w:rPr>
                <w:b w:val="0"/>
                <w:i/>
                <w:sz w:val="22"/>
              </w:rPr>
              <w:t>Cold-moist period plus light-sensitive sowing</w:t>
            </w:r>
          </w:p>
        </w:tc>
        <w:tc>
          <w:tcPr>
            <w:tcW w:type="dxa" w:w="3389"/>
            <w:vAlign w:val="center"/>
            <w:shd w:fill="FFFFFF"/>
          </w:tcPr>
          <w:p>
            <w:pPr>
              <w:spacing w:after="60"/>
            </w:pPr>
            <w:r>
              <w:rPr>
                <w:b w:val="0"/>
                <w:i/>
                <w:sz w:val="22"/>
              </w:rPr>
              <w:t>Stratify damp seed 60 days at 33–40°F; then surface-sow and maintain moisture.</w:t>
            </w:r>
          </w:p>
        </w:tc>
      </w:tr>
      <w:tr>
        <w:trPr>
          <w:cantSplit/>
        </w:trPr>
        <w:tc>
          <w:tcPr>
            <w:tcW w:type="dxa" w:w="3389"/>
            <w:vAlign w:val="center"/>
            <w:shd w:fill="FFFFFF"/>
          </w:tcPr>
          <w:p>
            <w:pPr>
              <w:spacing w:after="60"/>
            </w:pPr>
            <w:r>
              <w:rPr>
                <w:b/>
                <w:i/>
                <w:sz w:val="22"/>
              </w:rPr>
              <w:t>H, C(30)</w:t>
            </w:r>
          </w:p>
        </w:tc>
        <w:tc>
          <w:tcPr>
            <w:tcW w:type="dxa" w:w="3389"/>
            <w:vAlign w:val="center"/>
            <w:shd w:fill="FFFFFF"/>
          </w:tcPr>
          <w:p>
            <w:pPr>
              <w:spacing w:after="60"/>
            </w:pPr>
            <w:r>
              <w:rPr>
                <w:b w:val="0"/>
                <w:i/>
                <w:sz w:val="22"/>
              </w:rPr>
              <w:t>Scarify, then cold-moist stratify</w:t>
            </w:r>
          </w:p>
        </w:tc>
        <w:tc>
          <w:tcPr>
            <w:tcW w:type="dxa" w:w="3389"/>
            <w:vAlign w:val="center"/>
            <w:shd w:fill="FFFFFF"/>
          </w:tcPr>
          <w:p>
            <w:pPr>
              <w:spacing w:after="60"/>
            </w:pPr>
            <w:r>
              <w:rPr>
                <w:b w:val="0"/>
                <w:i/>
                <w:sz w:val="22"/>
              </w:rPr>
              <w:t>Abrade the coat first; then refrigerate damp seed 30 days before sowing.</w:t>
            </w:r>
          </w:p>
        </w:tc>
      </w:tr>
      <w:tr>
        <w:trPr>
          <w:cantSplit/>
        </w:trPr>
        <w:tc>
          <w:tcPr>
            <w:tcW w:type="dxa" w:w="3389"/>
            <w:vAlign w:val="center"/>
            <w:shd w:fill="FFFFFF"/>
          </w:tcPr>
          <w:p>
            <w:pPr>
              <w:spacing w:after="60"/>
            </w:pPr>
            <w:r>
              <w:rPr>
                <w:b/>
                <w:i/>
                <w:sz w:val="22"/>
              </w:rPr>
              <w:t>C(60), G, M</w:t>
            </w:r>
          </w:p>
        </w:tc>
        <w:tc>
          <w:tcPr>
            <w:tcW w:type="dxa" w:w="3389"/>
            <w:vAlign w:val="center"/>
            <w:shd w:fill="FFFFFF"/>
          </w:tcPr>
          <w:p>
            <w:pPr>
              <w:spacing w:after="60"/>
            </w:pPr>
            <w:r>
              <w:rPr>
                <w:b w:val="0"/>
                <w:i/>
                <w:sz w:val="22"/>
              </w:rPr>
              <w:t>Cold requirement; cool soil; fall sowing preferred</w:t>
            </w:r>
          </w:p>
        </w:tc>
        <w:tc>
          <w:tcPr>
            <w:tcW w:type="dxa" w:w="3389"/>
            <w:vAlign w:val="center"/>
            <w:shd w:fill="FFFFFF"/>
          </w:tcPr>
          <w:p>
            <w:pPr>
              <w:spacing w:after="60"/>
            </w:pPr>
            <w:r>
              <w:rPr>
                <w:b w:val="0"/>
                <w:i/>
                <w:sz w:val="22"/>
              </w:rPr>
              <w:t>The simplest route is shallow outdoor sowing in late fall and letting winter supply Code C.</w:t>
            </w:r>
          </w:p>
        </w:tc>
      </w:tr>
      <w:tr>
        <w:trPr>
          <w:cantSplit/>
        </w:trPr>
        <w:tc>
          <w:tcPr>
            <w:tcW w:type="dxa" w:w="3389"/>
            <w:vAlign w:val="center"/>
            <w:shd w:fill="FFFFFF"/>
          </w:tcPr>
          <w:p>
            <w:pPr>
              <w:spacing w:after="60"/>
            </w:pPr>
            <w:r>
              <w:rPr>
                <w:b/>
                <w:i/>
                <w:sz w:val="22"/>
              </w:rPr>
              <w:t>L, E</w:t>
            </w:r>
          </w:p>
        </w:tc>
        <w:tc>
          <w:tcPr>
            <w:tcW w:type="dxa" w:w="3389"/>
            <w:vAlign w:val="center"/>
            <w:shd w:fill="FFFFFF"/>
          </w:tcPr>
          <w:p>
            <w:pPr>
              <w:spacing w:after="60"/>
            </w:pPr>
            <w:r>
              <w:rPr>
                <w:b w:val="0"/>
                <w:i/>
                <w:sz w:val="22"/>
              </w:rPr>
              <w:t>Keep fresh seed moist; warm then cold sequence</w:t>
            </w:r>
          </w:p>
        </w:tc>
        <w:tc>
          <w:tcPr>
            <w:tcW w:type="dxa" w:w="3389"/>
            <w:vAlign w:val="center"/>
            <w:shd w:fill="FFFFFF"/>
          </w:tcPr>
          <w:p>
            <w:pPr>
              <w:spacing w:after="60"/>
            </w:pPr>
            <w:r>
              <w:rPr>
                <w:b w:val="0"/>
                <w:i/>
                <w:sz w:val="22"/>
              </w:rPr>
              <w:t>Prevent drying, then give warm-moist followed by cold-moist conditions.</w:t>
            </w:r>
          </w:p>
        </w:tc>
      </w:tr>
      <w:tr>
        <w:trPr>
          <w:cantSplit/>
        </w:trPr>
        <w:tc>
          <w:tcPr>
            <w:tcW w:type="dxa" w:w="3389"/>
            <w:vAlign w:val="center"/>
            <w:shd w:fill="FFFFFF"/>
          </w:tcPr>
          <w:p>
            <w:pPr>
              <w:spacing w:after="60"/>
            </w:pPr>
            <w:r>
              <w:rPr>
                <w:b/>
                <w:i/>
                <w:sz w:val="22"/>
              </w:rPr>
              <w:t>K, C(60)</w:t>
            </w:r>
          </w:p>
        </w:tc>
        <w:tc>
          <w:tcPr>
            <w:tcW w:type="dxa" w:w="3389"/>
            <w:vAlign w:val="center"/>
            <w:shd w:fill="FFFFFF"/>
          </w:tcPr>
          <w:p>
            <w:pPr>
              <w:spacing w:after="60"/>
            </w:pPr>
            <w:r>
              <w:rPr>
                <w:b w:val="0"/>
                <w:i/>
                <w:sz w:val="22"/>
              </w:rPr>
              <w:t>Host plant required plus cold-moist period</w:t>
            </w:r>
          </w:p>
        </w:tc>
        <w:tc>
          <w:tcPr>
            <w:tcW w:type="dxa" w:w="3389"/>
            <w:vAlign w:val="center"/>
            <w:shd w:fill="FFFFFF"/>
          </w:tcPr>
          <w:p>
            <w:pPr>
              <w:spacing w:after="60"/>
            </w:pPr>
            <w:r>
              <w:rPr>
                <w:b w:val="0"/>
                <w:i/>
                <w:sz w:val="22"/>
              </w:rPr>
              <w:t>Stratify first, then sow shallowly beside a suitable host or sow host and hemiparasite together.</w:t>
            </w:r>
          </w:p>
        </w:tc>
      </w:tr>
    </w:tbl>
    <w:p>
      <w:pPr>
        <w:spacing w:after="20"/>
      </w:pPr>
    </w:p>
    <w:p>
      <w:pPr>
        <w:pStyle w:val="Heading2"/>
      </w:pPr>
      <w:r>
        <w:t>Preferred Method for Beginning Perennial Growers</w:t>
      </w:r>
    </w:p>
    <w:p>
      <w:pPr>
        <w:pStyle w:val="ListBullet"/>
      </w:pPr>
      <w:r>
        <w:rPr>
          <w:b/>
          <w:i/>
        </w:rPr>
        <w:t>Prairie Moon recommends natural outdoor stratification for newcomers: surface-sow on a bare, weed-free, compact site in late fall and allow seed to overwinter.</w:t>
      </w:r>
    </w:p>
    <w:p>
      <w:pPr>
        <w:pStyle w:val="ListBullet"/>
      </w:pPr>
      <w:r>
        <w:rPr>
          <w:b/>
          <w:i/>
        </w:rPr>
        <w:t>Sow shallowly—Prairie Moon advises no deeper than the width of the seed. Code D seed remains at the surface.</w:t>
      </w:r>
    </w:p>
    <w:p>
      <w:pPr>
        <w:pStyle w:val="ListBullet"/>
      </w:pPr>
      <w:r>
        <w:rPr>
          <w:b/>
          <w:i/>
        </w:rPr>
        <w:t>Label each species and code. Record sowing date, seed source, treatment, location, and emergence.</w:t>
      </w:r>
    </w:p>
    <w:p>
      <w:pPr>
        <w:pStyle w:val="ListBullet"/>
      </w:pPr>
      <w:r>
        <w:rPr>
          <w:b/>
          <w:i/>
        </w:rPr>
        <w:t>Protect seedbeds from weeds, rodents, drying, erosion, and disturbance. Water periodically while seedlings establish.</w:t>
      </w:r>
    </w:p>
    <w:p>
      <w:pPr>
        <w:pStyle w:val="ListBullet"/>
      </w:pPr>
      <w:r>
        <w:rPr>
          <w:b/>
          <w:i/>
        </w:rPr>
        <w:t>Do not discard a well-managed perennial seedbed after one season. Some species germinate during the second year or later.</w:t>
      </w:r>
    </w:p>
    <w:p>
      <w:pPr>
        <w:pStyle w:val="Heading2"/>
      </w:pPr>
      <w:r>
        <w:t>Artificial Code C Protocol</w:t>
      </w:r>
    </w:p>
    <w:p>
      <w:r>
        <w:rPr>
          <w:b/>
          <w:i/>
        </w:rPr>
        <w:t xml:space="preserve">1. </w:t>
      </w:r>
      <w:r>
        <w:rPr>
          <w:b/>
          <w:i/>
        </w:rPr>
        <w:t>Calculate the refrigerator start date from the sowing date and the C-number.</w:t>
      </w:r>
    </w:p>
    <w:p>
      <w:r>
        <w:rPr>
          <w:b/>
          <w:i/>
        </w:rPr>
        <w:t xml:space="preserve">2. </w:t>
      </w:r>
      <w:r>
        <w:rPr>
          <w:b/>
          <w:i/>
        </w:rPr>
        <w:t>Briefly wet the seed, drain completely, and arrange it in a single layer in damp paper, coffee filter, fine sand, vermiculite, or another horticultural medium.</w:t>
      </w:r>
    </w:p>
    <w:p>
      <w:r>
        <w:rPr>
          <w:b/>
          <w:i/>
        </w:rPr>
        <w:t xml:space="preserve">3. </w:t>
      </w:r>
      <w:r>
        <w:rPr>
          <w:b/>
          <w:i/>
        </w:rPr>
        <w:t>The medium must be damp but not soggy; no water should squeeze out.</w:t>
      </w:r>
    </w:p>
    <w:p>
      <w:r>
        <w:rPr>
          <w:b/>
          <w:i/>
        </w:rPr>
        <w:t xml:space="preserve">4. </w:t>
      </w:r>
      <w:r>
        <w:rPr>
          <w:b/>
          <w:i/>
        </w:rPr>
        <w:t>Seal in a labeled bag with species, code, start date, and target finish date. Refrigerate at 33–40°F—never freeze.</w:t>
      </w:r>
    </w:p>
    <w:p>
      <w:r>
        <w:rPr>
          <w:b/>
          <w:i/>
        </w:rPr>
        <w:t xml:space="preserve">5. </w:t>
      </w:r>
      <w:r>
        <w:rPr>
          <w:b/>
          <w:i/>
        </w:rPr>
        <w:t>Inspect weekly. Prevent drying and excess moisture; replace paper when necessary.</w:t>
      </w:r>
    </w:p>
    <w:p>
      <w:r>
        <w:rPr>
          <w:b/>
          <w:i/>
        </w:rPr>
        <w:t xml:space="preserve">6. </w:t>
      </w:r>
      <w:r>
        <w:rPr>
          <w:b/>
          <w:i/>
        </w:rPr>
        <w:t>Plant immediately when the stated period ends or if substantial sprouting begins in the bag.</w:t>
      </w:r>
    </w:p>
    <w:p>
      <w:pPr>
        <w:pStyle w:val="Heading2"/>
      </w:pPr>
      <w:r>
        <w:t>Perennial Examples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Perennial</w:t>
            </w:r>
          </w:p>
        </w:tc>
        <w:tc>
          <w:tcPr>
            <w:tcW w:type="dxa" w:w="3389"/>
            <w:vAlign w:val="center"/>
            <w:shd w:fill="E9EDF0"/>
          </w:tcPr>
          <w:p>
            <w:pPr>
              <w:spacing w:after="60"/>
            </w:pPr>
            <w:r>
              <w:rPr>
                <w:b/>
                <w:i/>
                <w:sz w:val="22"/>
              </w:rPr>
              <w:t>Prairie Moon code</w:t>
            </w:r>
          </w:p>
        </w:tc>
        <w:tc>
          <w:tcPr>
            <w:tcW w:type="dxa" w:w="3389"/>
            <w:vAlign w:val="center"/>
            <w:shd w:fill="E9EDF0"/>
          </w:tcPr>
          <w:p>
            <w:pPr>
              <w:spacing w:after="60"/>
            </w:pPr>
            <w:r>
              <w:rPr>
                <w:b/>
                <w:i/>
                <w:sz w:val="22"/>
              </w:rPr>
              <w:t>Interpretation</w:t>
            </w:r>
          </w:p>
        </w:tc>
      </w:tr>
      <w:tr>
        <w:trPr>
          <w:cantSplit/>
        </w:trPr>
        <w:tc>
          <w:tcPr>
            <w:tcW w:type="dxa" w:w="3389"/>
            <w:vAlign w:val="center"/>
            <w:shd w:fill="FFFFFF"/>
          </w:tcPr>
          <w:p>
            <w:pPr>
              <w:spacing w:after="60"/>
            </w:pPr>
            <w:r>
              <w:rPr>
                <w:b/>
                <w:i/>
                <w:sz w:val="22"/>
              </w:rPr>
              <w:t>Big Bluestem — Andropogon gerardii</w:t>
            </w:r>
          </w:p>
        </w:tc>
        <w:tc>
          <w:tcPr>
            <w:tcW w:type="dxa" w:w="3389"/>
            <w:vAlign w:val="center"/>
            <w:shd w:fill="FFFFFF"/>
          </w:tcPr>
          <w:p>
            <w:pPr>
              <w:spacing w:after="60"/>
            </w:pPr>
            <w:r>
              <w:rPr>
                <w:b w:val="0"/>
                <w:i/>
                <w:sz w:val="22"/>
              </w:rPr>
              <w:t>A</w:t>
            </w:r>
          </w:p>
        </w:tc>
        <w:tc>
          <w:tcPr>
            <w:tcW w:type="dxa" w:w="3389"/>
            <w:vAlign w:val="center"/>
            <w:shd w:fill="FFFFFF"/>
          </w:tcPr>
          <w:p>
            <w:pPr>
              <w:spacing w:after="60"/>
            </w:pPr>
            <w:r>
              <w:rPr>
                <w:b w:val="0"/>
                <w:i/>
                <w:sz w:val="22"/>
              </w:rPr>
              <w:t>No pretreatment; sow when conditions are warm.</w:t>
            </w:r>
          </w:p>
        </w:tc>
      </w:tr>
      <w:tr>
        <w:trPr>
          <w:cantSplit/>
        </w:trPr>
        <w:tc>
          <w:tcPr>
            <w:tcW w:type="dxa" w:w="3389"/>
            <w:vAlign w:val="center"/>
            <w:shd w:fill="FFFFFF"/>
          </w:tcPr>
          <w:p>
            <w:pPr>
              <w:spacing w:after="60"/>
            </w:pPr>
            <w:r>
              <w:rPr>
                <w:b/>
                <w:i/>
                <w:sz w:val="22"/>
              </w:rPr>
              <w:t>Golden Alexanders — Zizia aurea</w:t>
            </w:r>
          </w:p>
        </w:tc>
        <w:tc>
          <w:tcPr>
            <w:tcW w:type="dxa" w:w="3389"/>
            <w:vAlign w:val="center"/>
            <w:shd w:fill="FFFFFF"/>
          </w:tcPr>
          <w:p>
            <w:pPr>
              <w:spacing w:after="60"/>
            </w:pPr>
            <w:r>
              <w:rPr>
                <w:b w:val="0"/>
                <w:i/>
                <w:sz w:val="22"/>
              </w:rPr>
              <w:t>C(60), G, M</w:t>
            </w:r>
          </w:p>
        </w:tc>
        <w:tc>
          <w:tcPr>
            <w:tcW w:type="dxa" w:w="3389"/>
            <w:vAlign w:val="center"/>
            <w:shd w:fill="FFFFFF"/>
          </w:tcPr>
          <w:p>
            <w:pPr>
              <w:spacing w:after="60"/>
            </w:pPr>
            <w:r>
              <w:rPr>
                <w:b w:val="0"/>
                <w:i/>
                <w:sz w:val="22"/>
              </w:rPr>
              <w:t>Cold-moist stratification; cool-soil germination; fall outdoor sowing preferred.</w:t>
            </w:r>
          </w:p>
        </w:tc>
      </w:tr>
      <w:tr>
        <w:trPr>
          <w:cantSplit/>
        </w:trPr>
        <w:tc>
          <w:tcPr>
            <w:tcW w:type="dxa" w:w="3389"/>
            <w:vAlign w:val="center"/>
            <w:shd w:fill="FFFFFF"/>
          </w:tcPr>
          <w:p>
            <w:pPr>
              <w:spacing w:after="60"/>
            </w:pPr>
            <w:r>
              <w:rPr>
                <w:b/>
                <w:i/>
                <w:sz w:val="22"/>
              </w:rPr>
              <w:t>Prairie Smoke — Geum triflorum</w:t>
            </w:r>
          </w:p>
        </w:tc>
        <w:tc>
          <w:tcPr>
            <w:tcW w:type="dxa" w:w="3389"/>
            <w:vAlign w:val="center"/>
            <w:shd w:fill="FFFFFF"/>
          </w:tcPr>
          <w:p>
            <w:pPr>
              <w:spacing w:after="60"/>
            </w:pPr>
            <w:r>
              <w:rPr>
                <w:b w:val="0"/>
                <w:i/>
                <w:sz w:val="22"/>
              </w:rPr>
              <w:t>C(60), M</w:t>
            </w:r>
          </w:p>
        </w:tc>
        <w:tc>
          <w:tcPr>
            <w:tcW w:type="dxa" w:w="3389"/>
            <w:vAlign w:val="center"/>
            <w:shd w:fill="FFFFFF"/>
          </w:tcPr>
          <w:p>
            <w:pPr>
              <w:spacing w:after="60"/>
            </w:pPr>
            <w:r>
              <w:rPr>
                <w:b w:val="0"/>
                <w:i/>
                <w:sz w:val="22"/>
              </w:rPr>
              <w:t>Cold-moist stratification; fall outdoor sowing preferred.</w:t>
            </w:r>
          </w:p>
        </w:tc>
      </w:tr>
      <w:tr>
        <w:trPr>
          <w:cantSplit/>
        </w:trPr>
        <w:tc>
          <w:tcPr>
            <w:tcW w:type="dxa" w:w="3389"/>
            <w:vAlign w:val="center"/>
            <w:shd w:fill="FFFFFF"/>
          </w:tcPr>
          <w:p>
            <w:pPr>
              <w:spacing w:after="60"/>
            </w:pPr>
            <w:r>
              <w:rPr>
                <w:b/>
                <w:i/>
                <w:sz w:val="22"/>
              </w:rPr>
              <w:t>Wild Ginger — Asarum canadense</w:t>
            </w:r>
          </w:p>
        </w:tc>
        <w:tc>
          <w:tcPr>
            <w:tcW w:type="dxa" w:w="3389"/>
            <w:vAlign w:val="center"/>
            <w:shd w:fill="FFFFFF"/>
          </w:tcPr>
          <w:p>
            <w:pPr>
              <w:spacing w:after="60"/>
            </w:pPr>
            <w:r>
              <w:rPr>
                <w:b w:val="0"/>
                <w:i/>
                <w:sz w:val="22"/>
              </w:rPr>
              <w:t>L, E</w:t>
            </w:r>
          </w:p>
        </w:tc>
        <w:tc>
          <w:tcPr>
            <w:tcW w:type="dxa" w:w="3389"/>
            <w:vAlign w:val="center"/>
            <w:shd w:fill="FFFFFF"/>
          </w:tcPr>
          <w:p>
            <w:pPr>
              <w:spacing w:after="60"/>
            </w:pPr>
            <w:r>
              <w:rPr>
                <w:b w:val="0"/>
                <w:i/>
                <w:sz w:val="22"/>
              </w:rPr>
              <w:t>Keep fresh seed moist; then warm-moist followed by cold-moist conditions.</w:t>
            </w:r>
          </w:p>
        </w:tc>
      </w:tr>
    </w:tbl>
    <w:p>
      <w:pPr>
        <w:spacing w:after="20"/>
      </w:pPr>
    </w:p>
    <w:p>
      <w:pPr>
        <w:pStyle w:val="Heading2"/>
      </w:pPr>
      <w:r>
        <w:t>Frequent Errors</w:t>
      </w:r>
    </w:p>
    <w:p>
      <w:pPr>
        <w:pStyle w:val="ListBullet"/>
      </w:pPr>
      <w:r>
        <w:rPr>
          <w:b/>
          <w:i/>
        </w:rPr>
        <w:t>Treating combined codes as choices. Unless Prairie Moon says otherwise, every listed code supplies part of the protocol.</w:t>
      </w:r>
    </w:p>
    <w:p>
      <w:pPr>
        <w:pStyle w:val="ListBullet"/>
      </w:pPr>
      <w:r>
        <w:rPr>
          <w:b/>
          <w:i/>
        </w:rPr>
        <w:t>Confusing cold-dry storage with cold-moist stratification. Code C requires both cold and moisture.</w:t>
      </w:r>
    </w:p>
    <w:p>
      <w:pPr>
        <w:pStyle w:val="ListBullet"/>
      </w:pPr>
      <w:r>
        <w:rPr>
          <w:b/>
          <w:i/>
        </w:rPr>
        <w:t>Using a freezer. Code C calls for refrigerator temperatures of 33–40°F.</w:t>
      </w:r>
    </w:p>
    <w:p>
      <w:pPr>
        <w:pStyle w:val="ListBullet"/>
      </w:pPr>
      <w:r>
        <w:rPr>
          <w:b/>
          <w:i/>
        </w:rPr>
        <w:t>Making the medium wet enough to squeeze out water. Excess water reduces oxygen and encourages decay.</w:t>
      </w:r>
    </w:p>
    <w:p>
      <w:pPr>
        <w:pStyle w:val="ListBullet"/>
      </w:pPr>
      <w:r>
        <w:rPr>
          <w:b/>
          <w:i/>
        </w:rPr>
        <w:t>Burying Code D seed. Small or light-sensitive seed must remain at or very near the surface.</w:t>
      </w:r>
    </w:p>
    <w:p>
      <w:pPr>
        <w:pStyle w:val="ListBullet"/>
      </w:pPr>
      <w:r>
        <w:rPr>
          <w:b/>
          <w:i/>
        </w:rPr>
        <w:t>Giving up after the first growing season. Codes E, F, and some naturally sown perennials may require extended seasonal cycling.</w:t>
      </w:r>
    </w:p>
    <w:p>
      <w:pPr>
        <w:pStyle w:val="ListBullet"/>
      </w:pPr>
      <w:r>
        <w:rPr>
          <w:b/>
          <w:i/>
        </w:rPr>
        <w:t>Scarifying winter-sown Code H seed. Prairie Moon warns this may trigger premature germination and winter injury.</w:t>
      </w:r>
    </w:p>
    <w:p>
      <w:pPr>
        <w:pStyle w:val="Heading2"/>
      </w:pPr>
      <w:r>
        <w:t>Working Record</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sz w:val="22"/>
              </w:rPr>
              <w:t>Species / lot</w:t>
            </w:r>
          </w:p>
        </w:tc>
        <w:tc>
          <w:tcPr>
            <w:tcW w:type="dxa" w:w="2541"/>
            <w:vAlign w:val="center"/>
            <w:shd w:fill="E9EDF0"/>
          </w:tcPr>
          <w:p>
            <w:pPr>
              <w:spacing w:after="60"/>
            </w:pPr>
            <w:r>
              <w:rPr>
                <w:b/>
                <w:i/>
                <w:sz w:val="22"/>
              </w:rPr>
              <w:t>Codes</w:t>
            </w:r>
          </w:p>
        </w:tc>
        <w:tc>
          <w:tcPr>
            <w:tcW w:type="dxa" w:w="2541"/>
            <w:vAlign w:val="center"/>
            <w:shd w:fill="E9EDF0"/>
          </w:tcPr>
          <w:p>
            <w:pPr>
              <w:spacing w:after="60"/>
            </w:pPr>
            <w:r>
              <w:rPr>
                <w:b/>
                <w:i/>
                <w:sz w:val="22"/>
              </w:rPr>
              <w:t>Treatment dates and conditions</w:t>
            </w:r>
          </w:p>
        </w:tc>
        <w:tc>
          <w:tcPr>
            <w:tcW w:type="dxa" w:w="2541"/>
            <w:vAlign w:val="center"/>
            <w:shd w:fill="E9EDF0"/>
          </w:tcPr>
          <w:p>
            <w:pPr>
              <w:spacing w:after="60"/>
            </w:pPr>
            <w:r>
              <w:rPr>
                <w:b/>
                <w:i/>
                <w:sz w:val="22"/>
              </w:rPr>
              <w:t>Outcome</w:t>
            </w:r>
          </w:p>
        </w:tc>
      </w:tr>
      <w:tr>
        <w:trPr>
          <w:cantSplit/>
        </w:trPr>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r>
      <w:tr>
        <w:trPr>
          <w:cantSplit/>
        </w:trPr>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r>
      <w:tr>
        <w:trPr>
          <w:cantSplit/>
        </w:trPr>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c>
          <w:tcPr>
            <w:tcW w:type="dxa" w:w="2541"/>
            <w:vAlign w:val="center"/>
            <w:shd w:fill="FFFFFF"/>
          </w:tcPr>
          <w:p>
            <w:pPr>
              <w:spacing w:after="60"/>
            </w:pPr>
          </w:p>
        </w:tc>
      </w:tr>
    </w:tbl>
    <w:p>
      <w:pPr>
        <w:spacing w:after="20"/>
      </w:pPr>
    </w:p>
    <w:p>
      <w:pPr>
        <w:pStyle w:val="Heading2"/>
      </w:pPr>
      <w:r>
        <w:t>Source and Date Checked</w:t>
      </w:r>
    </w:p>
    <w:p>
      <w:r>
        <w:rPr>
          <w:b w:val="0"/>
          <w:i w:val="0"/>
        </w:rPr>
        <w:t>Primary source: Prairie Moon Nursery, “How to Germinate Native Seeds” and its Germination Codes &amp; Instructions. Checked 2026-08-25. https://www.prairiemoon.com/how-to-germinate-native-seeds.html</w:t>
      </w:r>
    </w:p>
    <w:p>
      <w:r>
        <w:rPr>
          <w:b w:val="0"/>
          <w:i w:val="0"/>
        </w:rPr>
        <w:t>Examples were checked against Prairie Moon’s current Big Bluestem, Golden Alexanders, Prairie Smoke, and Wild Ginger listings. Prairie Moon developed the summarized code system; this independent Information Sheet is not an official Prairie Moon publication.</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rairie-moon-germination-code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prairie moon germination codes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