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Powdery Mildew</w:t>
      </w:r>
    </w:p>
    <w:p>
      <w:pPr>
        <w:spacing w:after="320"/>
      </w:pPr>
      <w:r>
        <w:t>Combined Information Sheets</w:t>
      </w:r>
    </w:p>
    <w:p>
      <w:pPr>
        <w:pStyle w:val="Heading1"/>
      </w:pPr>
      <w:r>
        <w:t>Powdery Mildew</w:t>
      </w:r>
    </w:p>
    <w:p>
      <w:r>
        <w:rPr>
          <w:b/>
        </w:rPr>
        <w:t xml:space="preserve">Online Information Sheet: </w:t>
      </w:r>
      <w:hyperlink r:id="rId11">
        <w:r>
          <w:rPr>
            <w:color w:val="245B43"/>
            <w:u w:val="single"/>
          </w:rPr>
          <w:t>planteducationproject.com/guides/powdery-mildew/</w:t>
        </w:r>
      </w:hyperlink>
    </w:p>
    <w:p>
      <w:r>
        <w:rPr>
          <w:b w:val="0"/>
          <w:i w:val="0"/>
        </w:rPr>
        <w:t>🌿 Information Sheet</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val="0"/>
                <w:sz w:val="22"/>
              </w:rPr>
              <w:t xml:space="preserve">FAST IDENTIFICATION: </w:t>
            </w:r>
            <w:r>
              <w:rPr>
                <w:b/>
                <w:sz w:val="22"/>
              </w:rPr>
              <w:t>White or gray, flour-like patches on leaves, stems, buds, flowers, or fruit. Patches enlarge and may merge. Affected leaves can yellow, curl, distort, dry, or drop.</w:t>
            </w:r>
          </w:p>
        </w:tc>
      </w:tr>
    </w:tbl>
    <w:p>
      <w:pPr>
        <w:spacing w:after="20"/>
      </w:pPr>
    </w:p>
    <w:p>
      <w:pPr>
        <w:pStyle w:val="Heading2"/>
      </w:pPr>
      <w:r>
        <w:t>What It Is</w:t>
      </w:r>
    </w:p>
    <w:p>
      <w:r>
        <w:rPr>
          <w:b w:val="0"/>
          <w:i w:val="0"/>
        </w:rPr>
        <w:t xml:space="preserve">Powdery mildew is not one fungus but a group of closely related, usually host-specific fungi. </w:t>
      </w:r>
      <w:r>
        <w:rPr>
          <w:b/>
          <w:i w:val="0"/>
        </w:rPr>
        <w:t>Most fungal growth remains on the plant surface</w:t>
      </w:r>
      <w:r>
        <w:t>, while feeding structures penetrate surface cells. Wind spreads the abundant powdery spores. A mildew on one plant family may not infect an unrelated family.</w:t>
      </w:r>
    </w:p>
    <w:p>
      <w:pPr>
        <w:pStyle w:val="Heading2"/>
      </w:pPr>
      <w:r>
        <w:t>Conditions That Favor It</w:t>
      </w:r>
    </w:p>
    <w:p>
      <w:pPr>
        <w:pStyle w:val="ListBullet"/>
      </w:pPr>
      <w:r>
        <w:rPr>
          <w:b w:val="0"/>
          <w:i w:val="0"/>
        </w:rPr>
        <w:t>Crowded foliage, shade, poor air movement, and humid nights.</w:t>
      </w:r>
    </w:p>
    <w:p>
      <w:pPr>
        <w:pStyle w:val="ListBullet"/>
      </w:pPr>
      <w:r>
        <w:rPr>
          <w:b w:val="0"/>
          <w:i w:val="0"/>
        </w:rPr>
        <w:t>Warm, dry days—often about 70–80 °F (21–27 °C)—favor spore dispersal.</w:t>
      </w:r>
    </w:p>
    <w:p>
      <w:pPr>
        <w:pStyle w:val="ListBullet"/>
      </w:pPr>
      <w:r>
        <w:rPr>
          <w:b w:val="0"/>
          <w:i w:val="0"/>
        </w:rPr>
        <w:t>Tender, nitrogen-rich new growth is especially susceptible.</w:t>
      </w:r>
    </w:p>
    <w:p>
      <w:pPr>
        <w:pStyle w:val="ListBullet"/>
      </w:pPr>
      <w:r>
        <w:rPr>
          <w:b w:val="0"/>
          <w:i w:val="0"/>
        </w:rPr>
        <w:t>Unlike many fungal diseases, powdery mildew usually does not need free water on the leaf to infect.</w:t>
      </w:r>
    </w:p>
    <w:p>
      <w:pPr>
        <w:pStyle w:val="Heading2"/>
      </w:pPr>
      <w:r>
        <w:t>Do Not Confuse It With</w:t>
      </w:r>
    </w:p>
    <w:p>
      <w:pPr>
        <w:pStyle w:val="ListBullet"/>
      </w:pPr>
      <w:r>
        <w:rPr>
          <w:b/>
          <w:i w:val="0"/>
        </w:rPr>
        <w:t>Downy mildew:</w:t>
      </w:r>
      <w:r>
        <w:t xml:space="preserve"> often produces angular yellow or brown lesions above and gray-purple growth mainly beneath leaves; it favors prolonged leaf wetness and very high humidity.</w:t>
      </w:r>
    </w:p>
    <w:p>
      <w:pPr>
        <w:pStyle w:val="ListBullet"/>
      </w:pPr>
      <w:r>
        <w:rPr>
          <w:b/>
          <w:i w:val="0"/>
        </w:rPr>
        <w:t>Mineral residue or dust:</w:t>
      </w:r>
      <w:r>
        <w:t xml:space="preserve"> may wipe away without returning or damaging tissue. Powdery mildew tends to recur, expand, and be accompanied by leaf distortion or discoloration.</w:t>
      </w:r>
    </w:p>
    <w:p>
      <w:pPr>
        <w:pStyle w:val="Heading2"/>
      </w:pPr>
      <w:r>
        <w:t>Immediate Response — First 24 Hours</w:t>
      </w:r>
    </w:p>
    <w:p>
      <w:pPr>
        <w:pStyle w:val="ListBullet"/>
      </w:pPr>
      <w:r>
        <w:rPr>
          <w:b/>
          <w:i w:val="0"/>
        </w:rPr>
        <w:t xml:space="preserve">Confirm the diagnosis. </w:t>
      </w:r>
      <w:r>
        <w:t>Inspect both leaf surfaces, stems, buds, and nearby plants. Use a hand lens if available.</w:t>
      </w:r>
    </w:p>
    <w:p>
      <w:pPr>
        <w:pStyle w:val="ListBullet"/>
      </w:pPr>
      <w:r>
        <w:rPr>
          <w:b/>
          <w:i w:val="0"/>
        </w:rPr>
        <w:t xml:space="preserve">Separate indoor plants. </w:t>
      </w:r>
      <w:r>
        <w:t>Move an affected houseplant away from other susceptible plants while treating it.</w:t>
      </w:r>
    </w:p>
    <w:p>
      <w:pPr>
        <w:pStyle w:val="ListBullet"/>
      </w:pPr>
      <w:r>
        <w:rPr>
          <w:b/>
          <w:i w:val="0"/>
        </w:rPr>
        <w:t xml:space="preserve">Remove the worst tissue. </w:t>
      </w:r>
      <w:r>
        <w:t>Clip heavily infected leaves and shoots without stripping the plant bare. Bag and discard them. Clean pruners afterward.</w:t>
      </w:r>
    </w:p>
    <w:p>
      <w:pPr>
        <w:pStyle w:val="ListBullet"/>
      </w:pPr>
      <w:r>
        <w:rPr>
          <w:b/>
          <w:i w:val="0"/>
        </w:rPr>
        <w:t xml:space="preserve">Correct the environment. </w:t>
      </w:r>
      <w:r>
        <w:t>Increase spacing and airflow, thin dense growth modestly, and provide the amount of sunlight appropriate for that species.</w:t>
      </w:r>
    </w:p>
    <w:p>
      <w:pPr>
        <w:pStyle w:val="ListBullet"/>
      </w:pPr>
      <w:r>
        <w:rPr>
          <w:b/>
          <w:i w:val="0"/>
        </w:rPr>
        <w:t xml:space="preserve">Water correctly. </w:t>
      </w:r>
      <w:r>
        <w:t>Water the root zone when the plant needs it. Avoid chronically damp soil and persistent high humidity around crowded foliage.</w:t>
      </w:r>
    </w:p>
    <w:p>
      <w:pPr>
        <w:pStyle w:val="ListBullet"/>
      </w:pPr>
      <w:r>
        <w:rPr>
          <w:b/>
          <w:i w:val="0"/>
        </w:rPr>
        <w:t xml:space="preserve">Stop excess nitrogen. </w:t>
      </w:r>
      <w:r>
        <w:t>Do not push lush new growth with unnecessary fertilizer. Resume only according to the plant’s needs or a soil test.</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val="0"/>
                <w:sz w:val="22"/>
              </w:rPr>
              <w:t xml:space="preserve">REALITY CHECK: </w:t>
            </w:r>
            <w:r>
              <w:rPr>
                <w:b/>
                <w:sz w:val="22"/>
              </w:rPr>
              <w:t>Existing white patches will not become healthy green tissue. The goal is to slow spread and protect new, uninfected growth.</w:t>
            </w:r>
          </w:p>
        </w:tc>
      </w:tr>
    </w:tbl>
    <w:p>
      <w:pPr>
        <w:spacing w:after="20"/>
      </w:pPr>
    </w:p>
    <w:p>
      <w:pPr>
        <w:pStyle w:val="Heading2"/>
      </w:pPr>
      <w:r>
        <w:t>Treatment Ladder</w:t>
      </w:r>
    </w:p>
    <w:p>
      <w:pPr>
        <w:pStyle w:val="Heading2"/>
      </w:pPr>
      <w:r>
        <w:t>1 — Mild infection or tolerant landscape plant</w:t>
      </w:r>
    </w:p>
    <w:p>
      <w:pPr>
        <w:pStyle w:val="ListBullet"/>
      </w:pPr>
      <w:r>
        <w:rPr>
          <w:b w:val="0"/>
          <w:i w:val="0"/>
        </w:rPr>
        <w:t>Improve spacing, light, and airflow; remove a limited number of badly infected leaves.</w:t>
      </w:r>
    </w:p>
    <w:p>
      <w:pPr>
        <w:pStyle w:val="ListBullet"/>
      </w:pPr>
      <w:r>
        <w:rPr>
          <w:b w:val="0"/>
          <w:i w:val="0"/>
        </w:rPr>
        <w:t>Monitor weekly. Some late-season infections are mainly cosmetic and do not justify spraying.</w:t>
      </w:r>
    </w:p>
    <w:p>
      <w:pPr>
        <w:pStyle w:val="Heading2"/>
      </w:pPr>
      <w:r>
        <w:t>2 — Valuable plant or early, spreading infection</w:t>
      </w:r>
    </w:p>
    <w:p>
      <w:pPr>
        <w:pStyle w:val="ListBullet"/>
      </w:pPr>
      <w:r>
        <w:rPr>
          <w:b w:val="0"/>
          <w:i w:val="0"/>
        </w:rPr>
        <w:t>Choose a product specifically labeled for powdery mildew on that plant and site. Common lower-impact active ingredients include potassium bicarbonate, sulfur, horticultural oil, neem oil, or certain biological fungicides.</w:t>
      </w:r>
    </w:p>
    <w:p>
      <w:pPr>
        <w:pStyle w:val="ListBullet"/>
      </w:pPr>
      <w:r>
        <w:rPr>
          <w:b w:val="0"/>
          <w:i w:val="0"/>
        </w:rPr>
        <w:t>Begin early and obtain thorough coverage of upper and lower leaf surfaces. Repeat only at the label interval.</w:t>
      </w:r>
    </w:p>
    <w:p>
      <w:pPr>
        <w:pStyle w:val="ListBullet"/>
      </w:pPr>
      <w:r>
        <w:rPr>
          <w:b w:val="0"/>
          <w:i w:val="0"/>
        </w:rPr>
        <w:t>Test oil- or soap-based products on a small section first when the plant’s sensitivity is uncertain.</w:t>
      </w:r>
    </w:p>
    <w:p>
      <w:pPr>
        <w:pStyle w:val="Heading2"/>
      </w:pPr>
      <w:r>
        <w:t>3 — Severe infection</w:t>
      </w:r>
    </w:p>
    <w:p>
      <w:pPr>
        <w:pStyle w:val="ListBullet"/>
      </w:pPr>
      <w:r>
        <w:rPr>
          <w:b w:val="0"/>
          <w:i w:val="0"/>
        </w:rPr>
        <w:t>If most foliage is coated, fungicide is unlikely to restore the plant. Remove the worst growth, reduce disease pressure, and decide whether replacement is more sensible.</w:t>
      </w:r>
    </w:p>
    <w:p>
      <w:pPr>
        <w:pStyle w:val="ListBullet"/>
      </w:pPr>
      <w:r>
        <w:rPr>
          <w:b w:val="0"/>
          <w:i w:val="0"/>
        </w:rPr>
        <w:t>For recurring disease, replace with a resistant cultivar or a less susceptible species suited to the site.</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val="0"/>
                <w:sz w:val="22"/>
              </w:rPr>
              <w:t xml:space="preserve">PLANT-INJURY WARNING: </w:t>
            </w:r>
            <w:r>
              <w:rPr>
                <w:b/>
                <w:sz w:val="22"/>
              </w:rPr>
              <w:t>Do not apply sulfur during hot weather—many labels warn near 90 °F (32 °C)—or within the prohibited interval around an oil spray; UC IPM advises at least 2 weeks. Some plants and cultivars are sulfur-sensitive. The product label controls.</w:t>
            </w:r>
          </w:p>
        </w:tc>
      </w:tr>
    </w:tbl>
    <w:p>
      <w:pPr>
        <w:spacing w:after="20"/>
      </w:pPr>
    </w:p>
    <w:p>
      <w:pPr>
        <w:pStyle w:val="Heading2"/>
      </w:pPr>
      <w:r>
        <w:t>Homemade Sprays</w:t>
      </w:r>
    </w:p>
    <w:p>
      <w:r>
        <w:rPr>
          <w:b w:val="0"/>
          <w:i w:val="0"/>
        </w:rPr>
        <w:t xml:space="preserve">Kitchen baking-soda mixtures are inconsistent and can burn foliage or raise sodium in soil. </w:t>
      </w:r>
      <w:r>
        <w:rPr>
          <w:b/>
          <w:i w:val="0"/>
        </w:rPr>
        <w:t>A labeled potassium-bicarbonate product is the more predictable choice.</w:t>
      </w:r>
      <w:r>
        <w:t xml:space="preserve"> Never mix pesticides, soaps, oils, or household ingredients unless the label specifically permits it.</w:t>
      </w:r>
    </w:p>
    <w:p>
      <w:pPr>
        <w:pStyle w:val="Heading2"/>
      </w:pPr>
      <w:r>
        <w:t>Prevention</w:t>
      </w:r>
    </w:p>
    <w:p>
      <w:pPr>
        <w:pStyle w:val="ListBullet"/>
      </w:pPr>
      <w:r>
        <w:rPr>
          <w:b w:val="0"/>
          <w:i w:val="0"/>
        </w:rPr>
        <w:t>Select resistant cultivars when powdery mildew is a recurring problem.</w:t>
      </w:r>
    </w:p>
    <w:p>
      <w:pPr>
        <w:pStyle w:val="ListBullet"/>
      </w:pPr>
      <w:r>
        <w:rPr>
          <w:b w:val="0"/>
          <w:i w:val="0"/>
        </w:rPr>
        <w:t>Space plants for their mature size; stake or prune selectively to open dense canopies.</w:t>
      </w:r>
    </w:p>
    <w:p>
      <w:pPr>
        <w:pStyle w:val="ListBullet"/>
      </w:pPr>
      <w:r>
        <w:rPr>
          <w:b w:val="0"/>
          <w:i w:val="0"/>
        </w:rPr>
        <w:t>Give sun-loving plants adequate sun. Avoid forcing shade-adapted plants into excessive sun merely to suppress mildew.</w:t>
      </w:r>
    </w:p>
    <w:p>
      <w:pPr>
        <w:pStyle w:val="ListBullet"/>
      </w:pPr>
      <w:r>
        <w:rPr>
          <w:b w:val="0"/>
          <w:i w:val="0"/>
        </w:rPr>
        <w:t>Remove heavily infected debris and volunteer host plants at season’s end.</w:t>
      </w:r>
    </w:p>
    <w:p>
      <w:pPr>
        <w:pStyle w:val="ListBullet"/>
      </w:pPr>
      <w:r>
        <w:rPr>
          <w:b w:val="0"/>
          <w:i w:val="0"/>
        </w:rPr>
        <w:t>Avoid excessive nitrogen and late flushes of tender growth.</w:t>
      </w:r>
    </w:p>
    <w:p>
      <w:pPr>
        <w:pStyle w:val="ListBullet"/>
      </w:pPr>
      <w:r>
        <w:rPr>
          <w:b w:val="0"/>
          <w:i w:val="0"/>
        </w:rPr>
        <w:t>Inspect susceptible plants weekly during favorable weather, beginning with lower and interior foliage.</w:t>
      </w:r>
    </w:p>
    <w:p>
      <w:pPr>
        <w:pStyle w:val="ListBullet"/>
      </w:pPr>
      <w:r>
        <w:rPr>
          <w:b w:val="0"/>
          <w:i w:val="0"/>
        </w:rPr>
        <w:t>If a prized plant has a predictable annual history of severe mildew, plan preventive treatment before symptoms become widespread.</w:t>
      </w:r>
    </w:p>
    <w:p>
      <w:pPr>
        <w:pStyle w:val="Heading2"/>
      </w:pPr>
      <w:r>
        <w:t>Indoor-Plant Notes</w:t>
      </w:r>
    </w:p>
    <w:p>
      <w:pPr>
        <w:pStyle w:val="ListBullet"/>
      </w:pPr>
      <w:r>
        <w:rPr>
          <w:b w:val="0"/>
          <w:i w:val="0"/>
        </w:rPr>
        <w:t>Quarantine new plants and inspect them before grouping them with a collection.</w:t>
      </w:r>
    </w:p>
    <w:p>
      <w:pPr>
        <w:pStyle w:val="ListBullet"/>
      </w:pPr>
      <w:r>
        <w:rPr>
          <w:b w:val="0"/>
          <w:i w:val="0"/>
        </w:rPr>
        <w:t>A small circulating fan may help, but do not aim a strong, drying draft continuously at foliage.</w:t>
      </w:r>
    </w:p>
    <w:p>
      <w:pPr>
        <w:pStyle w:val="ListBullet"/>
      </w:pPr>
      <w:r>
        <w:rPr>
          <w:b w:val="0"/>
          <w:i w:val="0"/>
        </w:rPr>
        <w:t>Avoid crowding plants against walls or windows where air stagnates.</w:t>
      </w:r>
    </w:p>
    <w:p>
      <w:pPr>
        <w:pStyle w:val="ListBullet"/>
      </w:pPr>
      <w:r>
        <w:rPr>
          <w:b w:val="0"/>
          <w:i w:val="0"/>
        </w:rPr>
        <w:t>Clean fallen leaves and wipe the growing-area surface. Do not rely on room foggers or unlabelled household disinfectants.</w:t>
      </w:r>
    </w:p>
    <w:p>
      <w:pPr>
        <w:pStyle w:val="Heading2"/>
      </w:pPr>
      <w:r>
        <w:t>When to Seek Help</w:t>
      </w:r>
    </w:p>
    <w:p>
      <w:pPr>
        <w:pStyle w:val="ListBullet"/>
      </w:pPr>
      <w:r>
        <w:rPr>
          <w:b w:val="0"/>
          <w:i w:val="0"/>
        </w:rPr>
        <w:t>The diagnosis is uncertain, especially if symptoms are mainly under the leaf or include water-soaked lesions.</w:t>
      </w:r>
    </w:p>
    <w:p>
      <w:pPr>
        <w:pStyle w:val="ListBullet"/>
      </w:pPr>
      <w:r>
        <w:rPr>
          <w:b w:val="0"/>
          <w:i w:val="0"/>
        </w:rPr>
        <w:t>An edible crop, greenhouse collection, valuable specimen, or repeated outbreak is involved.</w:t>
      </w:r>
    </w:p>
    <w:p>
      <w:pPr>
        <w:pStyle w:val="ListBullet"/>
      </w:pPr>
      <w:r>
        <w:rPr>
          <w:b w:val="0"/>
          <w:i w:val="0"/>
        </w:rPr>
        <w:t>Symptoms continue to spread after environmental corrections and correctly labeled treatment.</w:t>
      </w:r>
    </w:p>
    <w:p>
      <w:pPr>
        <w:pStyle w:val="ListBullet"/>
      </w:pPr>
      <w:r>
        <w:rPr>
          <w:b w:val="0"/>
          <w:i w:val="0"/>
        </w:rPr>
        <w:t>For Indiana plants, submit clear photographs or a sample through Purdue Extension or the Purdue Plant and Pest Diagnostic Laboratory.</w:t>
      </w:r>
    </w:p>
    <w:p>
      <w:pPr>
        <w:pStyle w:val="Heading2"/>
      </w:pPr>
      <w:r>
        <w:t>Quick Decision Guide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Situation</w:t>
            </w:r>
          </w:p>
        </w:tc>
        <w:tc>
          <w:tcPr>
            <w:tcW w:type="dxa" w:w="3389"/>
            <w:vAlign w:val="center"/>
            <w:shd w:fill="E9EDF0"/>
          </w:tcPr>
          <w:p>
            <w:pPr>
              <w:spacing w:after="60"/>
            </w:pPr>
            <w:r>
              <w:rPr>
                <w:b/>
                <w:i w:val="0"/>
                <w:sz w:val="22"/>
              </w:rPr>
              <w:t>Best first move</w:t>
            </w:r>
          </w:p>
        </w:tc>
        <w:tc>
          <w:tcPr>
            <w:tcW w:type="dxa" w:w="3389"/>
            <w:vAlign w:val="center"/>
            <w:shd w:fill="E9EDF0"/>
          </w:tcPr>
          <w:p>
            <w:pPr>
              <w:spacing w:after="60"/>
            </w:pPr>
            <w:r>
              <w:rPr>
                <w:b/>
                <w:i w:val="0"/>
                <w:sz w:val="22"/>
              </w:rPr>
              <w:t>Likely next step</w:t>
            </w:r>
          </w:p>
        </w:tc>
      </w:tr>
      <w:tr>
        <w:trPr>
          <w:cantSplit/>
        </w:trPr>
        <w:tc>
          <w:tcPr>
            <w:tcW w:type="dxa" w:w="3389"/>
            <w:vAlign w:val="center"/>
            <w:shd w:fill="FFFFFF"/>
          </w:tcPr>
          <w:p>
            <w:pPr>
              <w:spacing w:after="60"/>
            </w:pPr>
            <w:r>
              <w:rPr>
                <w:b/>
                <w:i w:val="0"/>
                <w:sz w:val="22"/>
              </w:rPr>
              <w:t>A few spots</w:t>
            </w:r>
          </w:p>
        </w:tc>
        <w:tc>
          <w:tcPr>
            <w:tcW w:type="dxa" w:w="3389"/>
            <w:vAlign w:val="center"/>
            <w:shd w:fill="FFFFFF"/>
          </w:tcPr>
          <w:p>
            <w:pPr>
              <w:spacing w:after="60"/>
            </w:pPr>
            <w:r>
              <w:rPr>
                <w:b w:val="0"/>
                <w:i w:val="0"/>
                <w:sz w:val="22"/>
              </w:rPr>
              <w:t>Remove limited infected tissue; improve airflow</w:t>
            </w:r>
          </w:p>
        </w:tc>
        <w:tc>
          <w:tcPr>
            <w:tcW w:type="dxa" w:w="3389"/>
            <w:vAlign w:val="center"/>
            <w:shd w:fill="FFFFFF"/>
          </w:tcPr>
          <w:p>
            <w:pPr>
              <w:spacing w:after="60"/>
            </w:pPr>
            <w:r>
              <w:rPr>
                <w:b w:val="0"/>
                <w:i w:val="0"/>
                <w:sz w:val="22"/>
              </w:rPr>
              <w:t>Monitor weekly</w:t>
            </w:r>
          </w:p>
        </w:tc>
      </w:tr>
      <w:tr>
        <w:trPr>
          <w:cantSplit/>
        </w:trPr>
        <w:tc>
          <w:tcPr>
            <w:tcW w:type="dxa" w:w="3389"/>
            <w:vAlign w:val="center"/>
            <w:shd w:fill="FFFFFF"/>
          </w:tcPr>
          <w:p>
            <w:pPr>
              <w:spacing w:after="60"/>
            </w:pPr>
            <w:r>
              <w:rPr>
                <w:b/>
                <w:i w:val="0"/>
                <w:sz w:val="22"/>
              </w:rPr>
              <w:t>Spreading early</w:t>
            </w:r>
          </w:p>
        </w:tc>
        <w:tc>
          <w:tcPr>
            <w:tcW w:type="dxa" w:w="3389"/>
            <w:vAlign w:val="center"/>
            <w:shd w:fill="FFFFFF"/>
          </w:tcPr>
          <w:p>
            <w:pPr>
              <w:spacing w:after="60"/>
            </w:pPr>
            <w:r>
              <w:rPr>
                <w:b w:val="0"/>
                <w:i w:val="0"/>
                <w:sz w:val="22"/>
              </w:rPr>
              <w:t>Cultural corrections plus a labeled product</w:t>
            </w:r>
          </w:p>
        </w:tc>
        <w:tc>
          <w:tcPr>
            <w:tcW w:type="dxa" w:w="3389"/>
            <w:vAlign w:val="center"/>
            <w:shd w:fill="FFFFFF"/>
          </w:tcPr>
          <w:p>
            <w:pPr>
              <w:spacing w:after="60"/>
            </w:pPr>
            <w:r>
              <w:rPr>
                <w:b w:val="0"/>
                <w:i w:val="0"/>
                <w:sz w:val="22"/>
              </w:rPr>
              <w:t>Repeat only per label</w:t>
            </w:r>
          </w:p>
        </w:tc>
      </w:tr>
      <w:tr>
        <w:trPr>
          <w:cantSplit/>
        </w:trPr>
        <w:tc>
          <w:tcPr>
            <w:tcW w:type="dxa" w:w="3389"/>
            <w:vAlign w:val="center"/>
            <w:shd w:fill="FFFFFF"/>
          </w:tcPr>
          <w:p>
            <w:pPr>
              <w:spacing w:after="60"/>
            </w:pPr>
            <w:r>
              <w:rPr>
                <w:b/>
                <w:i w:val="0"/>
                <w:sz w:val="22"/>
              </w:rPr>
              <w:t>Most leaves coated</w:t>
            </w:r>
          </w:p>
        </w:tc>
        <w:tc>
          <w:tcPr>
            <w:tcW w:type="dxa" w:w="3389"/>
            <w:vAlign w:val="center"/>
            <w:shd w:fill="FFFFFF"/>
          </w:tcPr>
          <w:p>
            <w:pPr>
              <w:spacing w:after="60"/>
            </w:pPr>
            <w:r>
              <w:rPr>
                <w:b w:val="0"/>
                <w:i w:val="0"/>
                <w:sz w:val="22"/>
              </w:rPr>
              <w:t>Remove worst growth; assess plant vigor</w:t>
            </w:r>
          </w:p>
        </w:tc>
        <w:tc>
          <w:tcPr>
            <w:tcW w:type="dxa" w:w="3389"/>
            <w:vAlign w:val="center"/>
            <w:shd w:fill="FFFFFF"/>
          </w:tcPr>
          <w:p>
            <w:pPr>
              <w:spacing w:after="60"/>
            </w:pPr>
            <w:r>
              <w:rPr>
                <w:b w:val="0"/>
                <w:i w:val="0"/>
                <w:sz w:val="22"/>
              </w:rPr>
              <w:t>Replace if decline continues</w:t>
            </w:r>
          </w:p>
        </w:tc>
      </w:tr>
      <w:tr>
        <w:trPr>
          <w:cantSplit/>
        </w:trPr>
        <w:tc>
          <w:tcPr>
            <w:tcW w:type="dxa" w:w="3389"/>
            <w:vAlign w:val="center"/>
            <w:shd w:fill="FFFFFF"/>
          </w:tcPr>
          <w:p>
            <w:pPr>
              <w:spacing w:after="60"/>
            </w:pPr>
            <w:r>
              <w:rPr>
                <w:b/>
                <w:i w:val="0"/>
                <w:sz w:val="22"/>
              </w:rPr>
              <w:t>Returns yearly</w:t>
            </w:r>
          </w:p>
        </w:tc>
        <w:tc>
          <w:tcPr>
            <w:tcW w:type="dxa" w:w="3389"/>
            <w:vAlign w:val="center"/>
            <w:shd w:fill="FFFFFF"/>
          </w:tcPr>
          <w:p>
            <w:pPr>
              <w:spacing w:after="60"/>
            </w:pPr>
            <w:r>
              <w:rPr>
                <w:b w:val="0"/>
                <w:i w:val="0"/>
                <w:sz w:val="22"/>
              </w:rPr>
              <w:t>Change site/care; choose resistant cultivar</w:t>
            </w:r>
          </w:p>
        </w:tc>
        <w:tc>
          <w:tcPr>
            <w:tcW w:type="dxa" w:w="3389"/>
            <w:vAlign w:val="center"/>
            <w:shd w:fill="FFFFFF"/>
          </w:tcPr>
          <w:p>
            <w:pPr>
              <w:spacing w:after="60"/>
            </w:pPr>
            <w:r>
              <w:rPr>
                <w:b w:val="0"/>
                <w:i w:val="0"/>
                <w:sz w:val="22"/>
              </w:rPr>
              <w:t>Preventive program if justified</w:t>
            </w:r>
          </w:p>
        </w:tc>
      </w:tr>
    </w:tbl>
    <w:p>
      <w:pPr>
        <w:spacing w:after="20"/>
      </w:pPr>
    </w:p>
    <w:p>
      <w:pPr>
        <w:pStyle w:val="Heading2"/>
      </w:pPr>
      <w:r>
        <w:t>Sources</w:t>
      </w:r>
    </w:p>
    <w:p>
      <w:pPr>
        <w:pStyle w:val="ListBullet"/>
      </w:pPr>
      <w:r>
        <w:rPr>
          <w:b/>
          <w:i w:val="0"/>
        </w:rPr>
        <w:t>University of Minnesota Extension — Powdery mildew in the flower garden</w:t>
      </w:r>
      <w:r>
        <w:br/>
      </w:r>
      <w:r>
        <w:t>https://extension.umn.edu/plant-diseases/powdery-mildew-flower-garden</w:t>
      </w:r>
    </w:p>
    <w:p>
      <w:pPr>
        <w:pStyle w:val="ListBullet"/>
      </w:pPr>
      <w:r>
        <w:rPr>
          <w:b/>
          <w:i w:val="0"/>
        </w:rPr>
        <w:t>University of California Statewide IPM Program — Powdery Mildew on Ornamentals</w:t>
      </w:r>
      <w:r>
        <w:br/>
      </w:r>
      <w:r>
        <w:t>https://ipm.ucanr.edu/home-and-landscape/powdery-mildew-on-ornamentals/</w:t>
      </w:r>
    </w:p>
    <w:p>
      <w:pPr>
        <w:pStyle w:val="ListBullet"/>
      </w:pPr>
      <w:r>
        <w:rPr>
          <w:b/>
          <w:i w:val="0"/>
        </w:rPr>
        <w:t>University of California Statewide IPM Program — Powdery Mildew on Vegetables</w:t>
      </w:r>
      <w:r>
        <w:br/>
      </w:r>
      <w:r>
        <w:t>https://ipm.ucanr.edu/home-and-landscape/powdery-mildew-on-vegetables/</w:t>
      </w:r>
    </w:p>
    <w:p>
      <w:pPr>
        <w:pStyle w:val="ListBullet"/>
      </w:pPr>
      <w:r>
        <w:rPr>
          <w:b/>
          <w:i w:val="0"/>
        </w:rPr>
        <w:t>Penn State Extension — Addressing Downy Mildew and Powdery Mildew in the Home Garden</w:t>
      </w:r>
      <w:r>
        <w:br/>
      </w:r>
      <w:r>
        <w:t>https://extension.psu.edu/addressing-downy-mildew-and-powdery-mildew-in-the-home-garden/</w:t>
      </w:r>
    </w:p>
    <w:p>
      <w:r>
        <w:rPr>
          <w:b w:val="0"/>
          <w:i/>
        </w:rPr>
        <w:t>Image credits: close-up — David B. Langston, University of Georgia, Bugwood.org (CC BY 3.0 US); phlox — Maine Department of Agriculture, Conservation and Forestry.</w:t>
      </w:r>
    </w:p>
    <w:p>
      <w:r>
        <w:rPr>
          <w:b/>
          <w:i w:val="0"/>
        </w:rPr>
        <w:t>Educational guidance only. For every pesticide, the label is the law; confirm that the plant, disease, and application site are listed.</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powdery-mildew/"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powdery mildew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