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Plant Testing Probes and Strips</w:t>
      </w:r>
    </w:p>
    <w:p>
      <w:pPr>
        <w:spacing w:after="320"/>
      </w:pPr>
      <w:r>
        <w:t>Combined Information Sheets</w:t>
      </w:r>
    </w:p>
    <w:p>
      <w:pPr>
        <w:pStyle w:val="Heading1"/>
      </w:pPr>
      <w:r>
        <w:t>Plant Testing Probes and Strips</w:t>
      </w:r>
    </w:p>
    <w:p>
      <w:r>
        <w:rPr>
          <w:b/>
        </w:rPr>
        <w:t xml:space="preserve">Online Information Sheet: </w:t>
      </w:r>
      <w:hyperlink r:id="rId11">
        <w:r>
          <w:rPr>
            <w:color w:val="245B43"/>
            <w:u w:val="single"/>
          </w:rPr>
          <w:t>planteducationproject.com/guides/plant-testing-probes-and-strips/</w:t>
        </w:r>
      </w:hyperlink>
    </w:p>
    <w:p>
      <w:r>
        <w:rPr>
          <w:b w:val="0"/>
          <w:i w:val="0"/>
        </w:rPr>
        <w:t>🌿 Information Sheet</w:t>
      </w:r>
    </w:p>
    <w:p>
      <w:r>
        <w:rPr>
          <w:b/>
          <w:i w:val="0"/>
        </w:rPr>
        <w:t xml:space="preserve">Bottom line: </w:t>
      </w:r>
      <w:r>
        <w:t>No inexpensive single probe accurately measures everything. Moisture, electrical conductivity (EC), pH, temperature, and individual nutrients are different measurements and require different sensors or laboratory methods.</w:t>
      </w:r>
    </w:p>
    <w:p>
      <w:pPr>
        <w:pStyle w:val="Heading2"/>
      </w:pPr>
      <w:r>
        <w:t>Probe Types and Practical Accuracy</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Device / method</w:t>
            </w:r>
          </w:p>
        </w:tc>
        <w:tc>
          <w:tcPr>
            <w:tcW w:type="dxa" w:w="2541"/>
            <w:vAlign w:val="center"/>
            <w:shd w:fill="E9EDF0"/>
          </w:tcPr>
          <w:p>
            <w:pPr>
              <w:spacing w:after="60"/>
            </w:pPr>
            <w:r>
              <w:rPr>
                <w:b/>
                <w:i w:val="0"/>
                <w:sz w:val="22"/>
              </w:rPr>
              <w:t>What it measures</w:t>
            </w:r>
          </w:p>
        </w:tc>
        <w:tc>
          <w:tcPr>
            <w:tcW w:type="dxa" w:w="2541"/>
            <w:vAlign w:val="center"/>
            <w:shd w:fill="E9EDF0"/>
          </w:tcPr>
          <w:p>
            <w:pPr>
              <w:spacing w:after="60"/>
            </w:pPr>
            <w:r>
              <w:rPr>
                <w:b/>
                <w:i w:val="0"/>
                <w:sz w:val="22"/>
              </w:rPr>
              <w:t>Practical accuracy</w:t>
            </w:r>
          </w:p>
        </w:tc>
        <w:tc>
          <w:tcPr>
            <w:tcW w:type="dxa" w:w="2541"/>
            <w:vAlign w:val="center"/>
            <w:shd w:fill="E9EDF0"/>
          </w:tcPr>
          <w:p>
            <w:pPr>
              <w:spacing w:after="60"/>
            </w:pPr>
            <w:r>
              <w:rPr>
                <w:b/>
                <w:i w:val="0"/>
                <w:sz w:val="22"/>
              </w:rPr>
              <w:t>Key limitation / best use</w:t>
            </w:r>
          </w:p>
        </w:tc>
      </w:tr>
      <w:tr>
        <w:trPr>
          <w:cantSplit/>
        </w:trPr>
        <w:tc>
          <w:tcPr>
            <w:tcW w:type="dxa" w:w="2541"/>
            <w:vAlign w:val="center"/>
            <w:shd w:fill="FFFFFF"/>
          </w:tcPr>
          <w:p>
            <w:pPr>
              <w:spacing w:after="60"/>
            </w:pPr>
            <w:r>
              <w:rPr>
                <w:b/>
                <w:i w:val="0"/>
                <w:sz w:val="22"/>
              </w:rPr>
              <w:t>Wooden skewer / chopstick</w:t>
            </w:r>
          </w:p>
        </w:tc>
        <w:tc>
          <w:tcPr>
            <w:tcW w:type="dxa" w:w="2541"/>
            <w:vAlign w:val="center"/>
            <w:shd w:fill="FFFFFF"/>
          </w:tcPr>
          <w:p>
            <w:pPr>
              <w:spacing w:after="60"/>
            </w:pPr>
            <w:r>
              <w:rPr>
                <w:b w:val="0"/>
                <w:i w:val="0"/>
                <w:sz w:val="22"/>
              </w:rPr>
              <w:t>Moisture condition by appearance/feel</w:t>
            </w:r>
          </w:p>
        </w:tc>
        <w:tc>
          <w:tcPr>
            <w:tcW w:type="dxa" w:w="2541"/>
            <w:vAlign w:val="center"/>
            <w:shd w:fill="FFFFFF"/>
          </w:tcPr>
          <w:p>
            <w:pPr>
              <w:spacing w:after="60"/>
            </w:pPr>
            <w:r>
              <w:rPr>
                <w:b w:val="0"/>
                <w:i w:val="0"/>
                <w:sz w:val="22"/>
              </w:rPr>
              <w:t>Low–moderate; qualitative</w:t>
            </w:r>
          </w:p>
        </w:tc>
        <w:tc>
          <w:tcPr>
            <w:tcW w:type="dxa" w:w="2541"/>
            <w:vAlign w:val="center"/>
            <w:shd w:fill="FFFFFF"/>
          </w:tcPr>
          <w:p>
            <w:pPr>
              <w:spacing w:after="60"/>
            </w:pPr>
            <w:r>
              <w:rPr>
                <w:b w:val="0"/>
                <w:i w:val="0"/>
                <w:sz w:val="22"/>
              </w:rPr>
              <w:t>Excellent cheap depth check; no numeric value.</w:t>
            </w:r>
          </w:p>
        </w:tc>
      </w:tr>
      <w:tr>
        <w:trPr>
          <w:cantSplit/>
        </w:trPr>
        <w:tc>
          <w:tcPr>
            <w:tcW w:type="dxa" w:w="2541"/>
            <w:vAlign w:val="center"/>
            <w:shd w:fill="FFFFFF"/>
          </w:tcPr>
          <w:p>
            <w:pPr>
              <w:spacing w:after="60"/>
            </w:pPr>
            <w:r>
              <w:rPr>
                <w:b/>
                <w:i w:val="0"/>
                <w:sz w:val="22"/>
              </w:rPr>
              <w:t>Finger</w:t>
            </w:r>
          </w:p>
        </w:tc>
        <w:tc>
          <w:tcPr>
            <w:tcW w:type="dxa" w:w="2541"/>
            <w:vAlign w:val="center"/>
            <w:shd w:fill="FFFFFF"/>
          </w:tcPr>
          <w:p>
            <w:pPr>
              <w:spacing w:after="60"/>
            </w:pPr>
            <w:r>
              <w:rPr>
                <w:b w:val="0"/>
                <w:i w:val="0"/>
                <w:sz w:val="22"/>
              </w:rPr>
              <w:t>Upper-zone moisture</w:t>
            </w:r>
          </w:p>
        </w:tc>
        <w:tc>
          <w:tcPr>
            <w:tcW w:type="dxa" w:w="2541"/>
            <w:vAlign w:val="center"/>
            <w:shd w:fill="FFFFFF"/>
          </w:tcPr>
          <w:p>
            <w:pPr>
              <w:spacing w:after="60"/>
            </w:pPr>
            <w:r>
              <w:rPr>
                <w:b w:val="0"/>
                <w:i w:val="0"/>
                <w:sz w:val="22"/>
              </w:rPr>
              <w:t>Moderate near surface</w:t>
            </w:r>
          </w:p>
        </w:tc>
        <w:tc>
          <w:tcPr>
            <w:tcW w:type="dxa" w:w="2541"/>
            <w:vAlign w:val="center"/>
            <w:shd w:fill="FFFFFF"/>
          </w:tcPr>
          <w:p>
            <w:pPr>
              <w:spacing w:after="60"/>
            </w:pPr>
            <w:r>
              <w:rPr>
                <w:b w:val="0"/>
                <w:i w:val="0"/>
                <w:sz w:val="22"/>
              </w:rPr>
              <w:t>Fast; cannot reliably assess the bottom of deep pots.</w:t>
            </w:r>
          </w:p>
        </w:tc>
      </w:tr>
      <w:tr>
        <w:trPr>
          <w:cantSplit/>
        </w:trPr>
        <w:tc>
          <w:tcPr>
            <w:tcW w:type="dxa" w:w="2541"/>
            <w:vAlign w:val="center"/>
            <w:shd w:fill="FFFFFF"/>
          </w:tcPr>
          <w:p>
            <w:pPr>
              <w:spacing w:after="60"/>
            </w:pPr>
            <w:r>
              <w:rPr>
                <w:b/>
                <w:i w:val="0"/>
                <w:sz w:val="22"/>
              </w:rPr>
              <w:t>Resistance / conductivity “moisture” meter</w:t>
            </w:r>
          </w:p>
        </w:tc>
        <w:tc>
          <w:tcPr>
            <w:tcW w:type="dxa" w:w="2541"/>
            <w:vAlign w:val="center"/>
            <w:shd w:fill="FFFFFF"/>
          </w:tcPr>
          <w:p>
            <w:pPr>
              <w:spacing w:after="60"/>
            </w:pPr>
            <w:r>
              <w:rPr>
                <w:b w:val="0"/>
                <w:i w:val="0"/>
                <w:sz w:val="22"/>
              </w:rPr>
              <w:t>Relative wetness</w:t>
            </w:r>
          </w:p>
        </w:tc>
        <w:tc>
          <w:tcPr>
            <w:tcW w:type="dxa" w:w="2541"/>
            <w:vAlign w:val="center"/>
            <w:shd w:fill="FFFFFF"/>
          </w:tcPr>
          <w:p>
            <w:pPr>
              <w:spacing w:after="60"/>
            </w:pPr>
            <w:r>
              <w:rPr>
                <w:b w:val="0"/>
                <w:i w:val="0"/>
                <w:sz w:val="22"/>
              </w:rPr>
              <w:t>Low–moderate</w:t>
            </w:r>
          </w:p>
        </w:tc>
        <w:tc>
          <w:tcPr>
            <w:tcW w:type="dxa" w:w="2541"/>
            <w:vAlign w:val="center"/>
            <w:shd w:fill="FFFFFF"/>
          </w:tcPr>
          <w:p>
            <w:pPr>
              <w:spacing w:after="60"/>
            </w:pPr>
            <w:r>
              <w:rPr>
                <w:b w:val="0"/>
                <w:i w:val="0"/>
                <w:sz w:val="22"/>
              </w:rPr>
              <w:t>Affected strongly by salts, fertilizer, soil contact, texture and electrode corrosion.</w:t>
            </w:r>
          </w:p>
        </w:tc>
      </w:tr>
      <w:tr>
        <w:trPr>
          <w:cantSplit/>
        </w:trPr>
        <w:tc>
          <w:tcPr>
            <w:tcW w:type="dxa" w:w="2541"/>
            <w:vAlign w:val="center"/>
            <w:shd w:fill="FFFFFF"/>
          </w:tcPr>
          <w:p>
            <w:pPr>
              <w:spacing w:after="60"/>
            </w:pPr>
            <w:r>
              <w:rPr>
                <w:b/>
                <w:i w:val="0"/>
                <w:sz w:val="22"/>
              </w:rPr>
              <w:t>Capacitance sensor</w:t>
            </w:r>
          </w:p>
        </w:tc>
        <w:tc>
          <w:tcPr>
            <w:tcW w:type="dxa" w:w="2541"/>
            <w:vAlign w:val="center"/>
            <w:shd w:fill="FFFFFF"/>
          </w:tcPr>
          <w:p>
            <w:pPr>
              <w:spacing w:after="60"/>
            </w:pPr>
            <w:r>
              <w:rPr>
                <w:b w:val="0"/>
                <w:i w:val="0"/>
                <w:sz w:val="22"/>
              </w:rPr>
              <w:t>Volumetric water response</w:t>
            </w:r>
          </w:p>
        </w:tc>
        <w:tc>
          <w:tcPr>
            <w:tcW w:type="dxa" w:w="2541"/>
            <w:vAlign w:val="center"/>
            <w:shd w:fill="FFFFFF"/>
          </w:tcPr>
          <w:p>
            <w:pPr>
              <w:spacing w:after="60"/>
            </w:pPr>
            <w:r>
              <w:rPr>
                <w:b w:val="0"/>
                <w:i w:val="0"/>
                <w:sz w:val="22"/>
              </w:rPr>
              <w:t>Moderate–high after calibration</w:t>
            </w:r>
          </w:p>
        </w:tc>
        <w:tc>
          <w:tcPr>
            <w:tcW w:type="dxa" w:w="2541"/>
            <w:vAlign w:val="center"/>
            <w:shd w:fill="FFFFFF"/>
          </w:tcPr>
          <w:p>
            <w:pPr>
              <w:spacing w:after="60"/>
            </w:pPr>
            <w:r>
              <w:rPr>
                <w:b w:val="0"/>
                <w:i w:val="0"/>
                <w:sz w:val="22"/>
              </w:rPr>
              <w:t>Good for repeated monitoring; substrate-specific calibration improves accuracy.</w:t>
            </w:r>
          </w:p>
        </w:tc>
      </w:tr>
      <w:tr>
        <w:trPr>
          <w:cantSplit/>
        </w:trPr>
        <w:tc>
          <w:tcPr>
            <w:tcW w:type="dxa" w:w="2541"/>
            <w:vAlign w:val="center"/>
            <w:shd w:fill="FFFFFF"/>
          </w:tcPr>
          <w:p>
            <w:pPr>
              <w:spacing w:after="60"/>
            </w:pPr>
            <w:r>
              <w:rPr>
                <w:b/>
                <w:i w:val="0"/>
                <w:sz w:val="22"/>
              </w:rPr>
              <w:t>TDR / FDR sensor</w:t>
            </w:r>
          </w:p>
        </w:tc>
        <w:tc>
          <w:tcPr>
            <w:tcW w:type="dxa" w:w="2541"/>
            <w:vAlign w:val="center"/>
            <w:shd w:fill="FFFFFF"/>
          </w:tcPr>
          <w:p>
            <w:pPr>
              <w:spacing w:after="60"/>
            </w:pPr>
            <w:r>
              <w:rPr>
                <w:b w:val="0"/>
                <w:i w:val="0"/>
                <w:sz w:val="22"/>
              </w:rPr>
              <w:t>Volumetric water content</w:t>
            </w:r>
          </w:p>
        </w:tc>
        <w:tc>
          <w:tcPr>
            <w:tcW w:type="dxa" w:w="2541"/>
            <w:vAlign w:val="center"/>
            <w:shd w:fill="FFFFFF"/>
          </w:tcPr>
          <w:p>
            <w:pPr>
              <w:spacing w:after="60"/>
            </w:pPr>
            <w:r>
              <w:rPr>
                <w:b w:val="0"/>
                <w:i w:val="0"/>
                <w:sz w:val="22"/>
              </w:rPr>
              <w:t>High with appropriate calibration</w:t>
            </w:r>
          </w:p>
        </w:tc>
        <w:tc>
          <w:tcPr>
            <w:tcW w:type="dxa" w:w="2541"/>
            <w:vAlign w:val="center"/>
            <w:shd w:fill="FFFFFF"/>
          </w:tcPr>
          <w:p>
            <w:pPr>
              <w:spacing w:after="60"/>
            </w:pPr>
            <w:r>
              <w:rPr>
                <w:b w:val="0"/>
                <w:i w:val="0"/>
                <w:sz w:val="22"/>
              </w:rPr>
              <w:t>Research/professional class; costlier; readings depend on substrate and installation.</w:t>
            </w:r>
          </w:p>
        </w:tc>
      </w:tr>
      <w:tr>
        <w:trPr>
          <w:cantSplit/>
        </w:trPr>
        <w:tc>
          <w:tcPr>
            <w:tcW w:type="dxa" w:w="2541"/>
            <w:vAlign w:val="center"/>
            <w:shd w:fill="FFFFFF"/>
          </w:tcPr>
          <w:p>
            <w:pPr>
              <w:spacing w:after="60"/>
            </w:pPr>
            <w:r>
              <w:rPr>
                <w:b/>
                <w:i w:val="0"/>
                <w:sz w:val="22"/>
              </w:rPr>
              <w:t>Tensiometer</w:t>
            </w:r>
          </w:p>
        </w:tc>
        <w:tc>
          <w:tcPr>
            <w:tcW w:type="dxa" w:w="2541"/>
            <w:vAlign w:val="center"/>
            <w:shd w:fill="FFFFFF"/>
          </w:tcPr>
          <w:p>
            <w:pPr>
              <w:spacing w:after="60"/>
            </w:pPr>
            <w:r>
              <w:rPr>
                <w:b w:val="0"/>
                <w:i w:val="0"/>
                <w:sz w:val="22"/>
              </w:rPr>
              <w:t>Soil water tension</w:t>
            </w:r>
          </w:p>
        </w:tc>
        <w:tc>
          <w:tcPr>
            <w:tcW w:type="dxa" w:w="2541"/>
            <w:vAlign w:val="center"/>
            <w:shd w:fill="FFFFFF"/>
          </w:tcPr>
          <w:p>
            <w:pPr>
              <w:spacing w:after="60"/>
            </w:pPr>
            <w:r>
              <w:rPr>
                <w:b w:val="0"/>
                <w:i w:val="0"/>
                <w:sz w:val="22"/>
              </w:rPr>
              <w:t>High within operating range</w:t>
            </w:r>
          </w:p>
        </w:tc>
        <w:tc>
          <w:tcPr>
            <w:tcW w:type="dxa" w:w="2541"/>
            <w:vAlign w:val="center"/>
            <w:shd w:fill="FFFFFF"/>
          </w:tcPr>
          <w:p>
            <w:pPr>
              <w:spacing w:after="60"/>
            </w:pPr>
            <w:r>
              <w:rPr>
                <w:b w:val="0"/>
                <w:i w:val="0"/>
                <w:sz w:val="22"/>
              </w:rPr>
              <w:t>Measures how tightly water is held, not water percentage; best in sufficiently fine, continuously moist media.</w:t>
            </w:r>
          </w:p>
        </w:tc>
      </w:tr>
      <w:tr>
        <w:trPr>
          <w:cantSplit/>
        </w:trPr>
        <w:tc>
          <w:tcPr>
            <w:tcW w:type="dxa" w:w="2541"/>
            <w:vAlign w:val="center"/>
            <w:shd w:fill="FFFFFF"/>
          </w:tcPr>
          <w:p>
            <w:pPr>
              <w:spacing w:after="60"/>
            </w:pPr>
            <w:r>
              <w:rPr>
                <w:b/>
                <w:i w:val="0"/>
                <w:sz w:val="22"/>
              </w:rPr>
              <w:t>EC meter</w:t>
            </w:r>
          </w:p>
        </w:tc>
        <w:tc>
          <w:tcPr>
            <w:tcW w:type="dxa" w:w="2541"/>
            <w:vAlign w:val="center"/>
            <w:shd w:fill="FFFFFF"/>
          </w:tcPr>
          <w:p>
            <w:pPr>
              <w:spacing w:after="60"/>
            </w:pPr>
            <w:r>
              <w:rPr>
                <w:b w:val="0"/>
                <w:i w:val="0"/>
                <w:sz w:val="22"/>
              </w:rPr>
              <w:t>Total soluble-ion concentration / salinity</w:t>
            </w:r>
          </w:p>
        </w:tc>
        <w:tc>
          <w:tcPr>
            <w:tcW w:type="dxa" w:w="2541"/>
            <w:vAlign w:val="center"/>
            <w:shd w:fill="FFFFFF"/>
          </w:tcPr>
          <w:p>
            <w:pPr>
              <w:spacing w:after="60"/>
            </w:pPr>
            <w:r>
              <w:rPr>
                <w:b w:val="0"/>
                <w:i w:val="0"/>
                <w:sz w:val="22"/>
              </w:rPr>
              <w:t>Moderate–high with proper extraction and calibration</w:t>
            </w:r>
          </w:p>
        </w:tc>
        <w:tc>
          <w:tcPr>
            <w:tcW w:type="dxa" w:w="2541"/>
            <w:vAlign w:val="center"/>
            <w:shd w:fill="FFFFFF"/>
          </w:tcPr>
          <w:p>
            <w:pPr>
              <w:spacing w:after="60"/>
            </w:pPr>
            <w:r>
              <w:rPr>
                <w:b w:val="0"/>
                <w:i w:val="0"/>
                <w:sz w:val="22"/>
              </w:rPr>
              <w:t>Useful for fertilizer/salt management; does NOT identify individual nutrients.</w:t>
            </w:r>
          </w:p>
        </w:tc>
      </w:tr>
      <w:tr>
        <w:trPr>
          <w:cantSplit/>
        </w:trPr>
        <w:tc>
          <w:tcPr>
            <w:tcW w:type="dxa" w:w="2541"/>
            <w:vAlign w:val="center"/>
            <w:shd w:fill="FFFFFF"/>
          </w:tcPr>
          <w:p>
            <w:pPr>
              <w:spacing w:after="60"/>
            </w:pPr>
            <w:r>
              <w:rPr>
                <w:b/>
                <w:i w:val="0"/>
                <w:sz w:val="22"/>
              </w:rPr>
              <w:t>pH electrode</w:t>
            </w:r>
          </w:p>
        </w:tc>
        <w:tc>
          <w:tcPr>
            <w:tcW w:type="dxa" w:w="2541"/>
            <w:vAlign w:val="center"/>
            <w:shd w:fill="FFFFFF"/>
          </w:tcPr>
          <w:p>
            <w:pPr>
              <w:spacing w:after="60"/>
            </w:pPr>
            <w:r>
              <w:rPr>
                <w:b w:val="0"/>
                <w:i w:val="0"/>
                <w:sz w:val="22"/>
              </w:rPr>
              <w:t>Acidity/alkalinity</w:t>
            </w:r>
          </w:p>
        </w:tc>
        <w:tc>
          <w:tcPr>
            <w:tcW w:type="dxa" w:w="2541"/>
            <w:vAlign w:val="center"/>
            <w:shd w:fill="FFFFFF"/>
          </w:tcPr>
          <w:p>
            <w:pPr>
              <w:spacing w:after="60"/>
            </w:pPr>
            <w:r>
              <w:rPr>
                <w:b w:val="0"/>
                <w:i w:val="0"/>
                <w:sz w:val="22"/>
              </w:rPr>
              <w:t>High when properly calibrated and used in a standardized slurry/extract</w:t>
            </w:r>
          </w:p>
        </w:tc>
        <w:tc>
          <w:tcPr>
            <w:tcW w:type="dxa" w:w="2541"/>
            <w:vAlign w:val="center"/>
            <w:shd w:fill="FFFFFF"/>
          </w:tcPr>
          <w:p>
            <w:pPr>
              <w:spacing w:after="60"/>
            </w:pPr>
            <w:r>
              <w:rPr>
                <w:b w:val="0"/>
                <w:i w:val="0"/>
                <w:sz w:val="22"/>
              </w:rPr>
              <w:t>Requires calibration and care; direct stabbing into potting mix can be misleading.</w:t>
            </w:r>
          </w:p>
        </w:tc>
      </w:tr>
      <w:tr>
        <w:trPr>
          <w:cantSplit/>
        </w:trPr>
        <w:tc>
          <w:tcPr>
            <w:tcW w:type="dxa" w:w="2541"/>
            <w:vAlign w:val="center"/>
            <w:shd w:fill="FFFFFF"/>
          </w:tcPr>
          <w:p>
            <w:pPr>
              <w:spacing w:after="60"/>
            </w:pPr>
            <w:r>
              <w:rPr>
                <w:b/>
                <w:i w:val="0"/>
                <w:sz w:val="22"/>
              </w:rPr>
              <w:t>Combination 3-in-1 analog probe</w:t>
            </w:r>
          </w:p>
        </w:tc>
        <w:tc>
          <w:tcPr>
            <w:tcW w:type="dxa" w:w="2541"/>
            <w:vAlign w:val="center"/>
            <w:shd w:fill="FFFFFF"/>
          </w:tcPr>
          <w:p>
            <w:pPr>
              <w:spacing w:after="60"/>
            </w:pPr>
            <w:r>
              <w:rPr>
                <w:b w:val="0"/>
                <w:i w:val="0"/>
                <w:sz w:val="22"/>
              </w:rPr>
              <w:t>Usually moisture + pH + light</w:t>
            </w:r>
          </w:p>
        </w:tc>
        <w:tc>
          <w:tcPr>
            <w:tcW w:type="dxa" w:w="2541"/>
            <w:vAlign w:val="center"/>
            <w:shd w:fill="FFFFFF"/>
          </w:tcPr>
          <w:p>
            <w:pPr>
              <w:spacing w:after="60"/>
            </w:pPr>
            <w:r>
              <w:rPr>
                <w:b w:val="0"/>
                <w:i w:val="0"/>
                <w:sz w:val="22"/>
              </w:rPr>
              <w:t>Low for quantitative work</w:t>
            </w:r>
          </w:p>
        </w:tc>
        <w:tc>
          <w:tcPr>
            <w:tcW w:type="dxa" w:w="2541"/>
            <w:vAlign w:val="center"/>
            <w:shd w:fill="FFFFFF"/>
          </w:tcPr>
          <w:p>
            <w:pPr>
              <w:spacing w:after="60"/>
            </w:pPr>
            <w:r>
              <w:rPr>
                <w:b w:val="0"/>
                <w:i w:val="0"/>
                <w:sz w:val="22"/>
              </w:rPr>
              <w:t>Useful only as a rough trend indicator; “light” sensor is not a nutrient sensor.</w:t>
            </w:r>
          </w:p>
        </w:tc>
      </w:tr>
      <w:tr>
        <w:trPr>
          <w:cantSplit/>
        </w:trPr>
        <w:tc>
          <w:tcPr>
            <w:tcW w:type="dxa" w:w="2541"/>
            <w:vAlign w:val="center"/>
            <w:shd w:fill="FFFFFF"/>
          </w:tcPr>
          <w:p>
            <w:pPr>
              <w:spacing w:after="60"/>
            </w:pPr>
            <w:r>
              <w:rPr>
                <w:b/>
                <w:i w:val="0"/>
                <w:sz w:val="22"/>
              </w:rPr>
              <w:t>Ion-selective electrode (ISE)</w:t>
            </w:r>
          </w:p>
        </w:tc>
        <w:tc>
          <w:tcPr>
            <w:tcW w:type="dxa" w:w="2541"/>
            <w:vAlign w:val="center"/>
            <w:shd w:fill="FFFFFF"/>
          </w:tcPr>
          <w:p>
            <w:pPr>
              <w:spacing w:after="60"/>
            </w:pPr>
            <w:r>
              <w:rPr>
                <w:b w:val="0"/>
                <w:i w:val="0"/>
                <w:sz w:val="22"/>
              </w:rPr>
              <w:t>Specific ions such as nitrate, K+, Ca2+ depending on electrode</w:t>
            </w:r>
          </w:p>
        </w:tc>
        <w:tc>
          <w:tcPr>
            <w:tcW w:type="dxa" w:w="2541"/>
            <w:vAlign w:val="center"/>
            <w:shd w:fill="FFFFFF"/>
          </w:tcPr>
          <w:p>
            <w:pPr>
              <w:spacing w:after="60"/>
            </w:pPr>
            <w:r>
              <w:rPr>
                <w:b w:val="0"/>
                <w:i w:val="0"/>
                <w:sz w:val="22"/>
              </w:rPr>
              <w:t>Moderate–high under controlled technique</w:t>
            </w:r>
          </w:p>
        </w:tc>
        <w:tc>
          <w:tcPr>
            <w:tcW w:type="dxa" w:w="2541"/>
            <w:vAlign w:val="center"/>
            <w:shd w:fill="FFFFFF"/>
          </w:tcPr>
          <w:p>
            <w:pPr>
              <w:spacing w:after="60"/>
            </w:pPr>
            <w:r>
              <w:rPr>
                <w:b w:val="0"/>
                <w:i w:val="0"/>
                <w:sz w:val="22"/>
              </w:rPr>
              <w:t>Needs calibration, compatible sample preparation, and attention to interfering ions.</w:t>
            </w:r>
          </w:p>
        </w:tc>
      </w:tr>
      <w:tr>
        <w:trPr>
          <w:cantSplit/>
        </w:trPr>
        <w:tc>
          <w:tcPr>
            <w:tcW w:type="dxa" w:w="2541"/>
            <w:vAlign w:val="center"/>
            <w:shd w:fill="FFFFFF"/>
          </w:tcPr>
          <w:p>
            <w:pPr>
              <w:spacing w:after="60"/>
            </w:pPr>
            <w:r>
              <w:rPr>
                <w:b/>
                <w:i w:val="0"/>
                <w:sz w:val="22"/>
              </w:rPr>
              <w:t>Laboratory soil/substrate test</w:t>
            </w:r>
          </w:p>
        </w:tc>
        <w:tc>
          <w:tcPr>
            <w:tcW w:type="dxa" w:w="2541"/>
            <w:vAlign w:val="center"/>
            <w:shd w:fill="FFFFFF"/>
          </w:tcPr>
          <w:p>
            <w:pPr>
              <w:spacing w:after="60"/>
            </w:pPr>
            <w:r>
              <w:rPr>
                <w:b w:val="0"/>
                <w:i w:val="0"/>
                <w:sz w:val="22"/>
              </w:rPr>
              <w:t>pH, EC, and extractable nutrients</w:t>
            </w:r>
          </w:p>
        </w:tc>
        <w:tc>
          <w:tcPr>
            <w:tcW w:type="dxa" w:w="2541"/>
            <w:vAlign w:val="center"/>
            <w:shd w:fill="FFFFFF"/>
          </w:tcPr>
          <w:p>
            <w:pPr>
              <w:spacing w:after="60"/>
            </w:pPr>
            <w:r>
              <w:rPr>
                <w:b w:val="0"/>
                <w:i w:val="0"/>
                <w:sz w:val="22"/>
              </w:rPr>
              <w:t>Highest practical reference</w:t>
            </w:r>
          </w:p>
        </w:tc>
        <w:tc>
          <w:tcPr>
            <w:tcW w:type="dxa" w:w="2541"/>
            <w:vAlign w:val="center"/>
            <w:shd w:fill="FFFFFF"/>
          </w:tcPr>
          <w:p>
            <w:pPr>
              <w:spacing w:after="60"/>
            </w:pPr>
            <w:r>
              <w:rPr>
                <w:b w:val="0"/>
                <w:i w:val="0"/>
                <w:sz w:val="22"/>
              </w:rPr>
              <w:t>Preferred when fertilizer diagnosis or nutrient prescription matters.</w:t>
            </w:r>
          </w:p>
        </w:tc>
      </w:tr>
    </w:tbl>
    <w:p>
      <w:pPr>
        <w:spacing w:after="20"/>
      </w:pPr>
    </w:p>
    <w:p>
      <w:pPr>
        <w:pStyle w:val="Heading2"/>
      </w:pPr>
      <w:r>
        <w:t>What the Numbers Actually Mean</w:t>
      </w:r>
    </w:p>
    <w:p>
      <w:pPr>
        <w:pStyle w:val="ListBullet"/>
      </w:pPr>
      <w:r>
        <w:rPr>
          <w:b w:val="0"/>
          <w:i w:val="0"/>
        </w:rPr>
        <w:t>Moisture percentage: meaningful only when the instrument truly measures volumetric water content and is calibrated for the substrate.</w:t>
      </w:r>
    </w:p>
    <w:p>
      <w:pPr>
        <w:pStyle w:val="ListBullet"/>
      </w:pPr>
      <w:r>
        <w:rPr>
          <w:b w:val="0"/>
          <w:i w:val="0"/>
        </w:rPr>
        <w:t>EC: measures the combined electrical effect of dissolved salts. High EC can indicate excessive fertilizer or salt accumulation, but it cannot tell which nutrient is high.</w:t>
      </w:r>
    </w:p>
    <w:p>
      <w:pPr>
        <w:pStyle w:val="ListBullet"/>
      </w:pPr>
      <w:r>
        <w:rPr>
          <w:b w:val="0"/>
          <w:i w:val="0"/>
        </w:rPr>
        <w:t>pH: controls nutrient availability but is not itself a nutrient measurement.</w:t>
      </w:r>
    </w:p>
    <w:p>
      <w:pPr>
        <w:pStyle w:val="ListBullet"/>
      </w:pPr>
      <w:r>
        <w:rPr>
          <w:b w:val="0"/>
          <w:i w:val="0"/>
        </w:rPr>
        <w:t>N-P-K claims: inexpensive probes marketed as directly reading nitrogen, phosphorus and potassium in a pot should be treated skeptically unless the device specifies a validated chemical/ion-selective method and calibration procedure.</w:t>
      </w:r>
    </w:p>
    <w:p>
      <w:pPr>
        <w:pStyle w:val="ListBullet"/>
      </w:pPr>
      <w:r>
        <w:rPr>
          <w:b w:val="0"/>
          <w:i w:val="0"/>
        </w:rPr>
        <w:t>Temperature: electronic temperature probes are generally straightforward, but measure the exact location of the sensor rather than the entire pot.</w:t>
      </w:r>
    </w:p>
    <w:p>
      <w:pPr>
        <w:pStyle w:val="Heading2"/>
      </w:pPr>
      <w:r>
        <w:t>Accuracy Ranking for Container-Growing Decisions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Question</w:t>
            </w:r>
          </w:p>
        </w:tc>
        <w:tc>
          <w:tcPr>
            <w:tcW w:type="dxa" w:w="5083"/>
            <w:vAlign w:val="center"/>
            <w:shd w:fill="E9EDF0"/>
          </w:tcPr>
          <w:p>
            <w:pPr>
              <w:spacing w:after="60"/>
            </w:pPr>
            <w:r>
              <w:rPr>
                <w:b/>
                <w:i w:val="0"/>
                <w:sz w:val="22"/>
              </w:rPr>
              <w:t>Preferred method</w:t>
            </w:r>
          </w:p>
        </w:tc>
      </w:tr>
      <w:tr>
        <w:trPr>
          <w:cantSplit/>
        </w:trPr>
        <w:tc>
          <w:tcPr>
            <w:tcW w:type="dxa" w:w="5083"/>
            <w:vAlign w:val="center"/>
            <w:shd w:fill="FFFFFF"/>
          </w:tcPr>
          <w:p>
            <w:pPr>
              <w:spacing w:after="60"/>
            </w:pPr>
            <w:r>
              <w:rPr>
                <w:b/>
                <w:i w:val="0"/>
                <w:sz w:val="22"/>
              </w:rPr>
              <w:t>Is this pot ready for water?</w:t>
            </w:r>
          </w:p>
        </w:tc>
        <w:tc>
          <w:tcPr>
            <w:tcW w:type="dxa" w:w="5083"/>
            <w:vAlign w:val="center"/>
            <w:shd w:fill="FFFFFF"/>
          </w:tcPr>
          <w:p>
            <w:pPr>
              <w:spacing w:after="60"/>
            </w:pPr>
            <w:r>
              <w:rPr>
                <w:b w:val="0"/>
                <w:i w:val="0"/>
                <w:sz w:val="22"/>
              </w:rPr>
              <w:t>Pot weight + finger/skewer; calibrated capacitance sensor for automation</w:t>
            </w:r>
          </w:p>
        </w:tc>
      </w:tr>
      <w:tr>
        <w:trPr>
          <w:cantSplit/>
        </w:trPr>
        <w:tc>
          <w:tcPr>
            <w:tcW w:type="dxa" w:w="5083"/>
            <w:vAlign w:val="center"/>
            <w:shd w:fill="FFFFFF"/>
          </w:tcPr>
          <w:p>
            <w:pPr>
              <w:spacing w:after="60"/>
            </w:pPr>
            <w:r>
              <w:rPr>
                <w:b/>
                <w:i w:val="0"/>
                <w:sz w:val="22"/>
              </w:rPr>
              <w:t>How wet is the root zone quantitatively?</w:t>
            </w:r>
          </w:p>
        </w:tc>
        <w:tc>
          <w:tcPr>
            <w:tcW w:type="dxa" w:w="5083"/>
            <w:vAlign w:val="center"/>
            <w:shd w:fill="FFFFFF"/>
          </w:tcPr>
          <w:p>
            <w:pPr>
              <w:spacing w:after="60"/>
            </w:pPr>
            <w:r>
              <w:rPr>
                <w:b w:val="0"/>
                <w:i w:val="0"/>
                <w:sz w:val="22"/>
              </w:rPr>
              <w:t>Calibrated capacitance, TDR/FDR</w:t>
            </w:r>
          </w:p>
        </w:tc>
      </w:tr>
      <w:tr>
        <w:trPr>
          <w:cantSplit/>
        </w:trPr>
        <w:tc>
          <w:tcPr>
            <w:tcW w:type="dxa" w:w="5083"/>
            <w:vAlign w:val="center"/>
            <w:shd w:fill="FFFFFF"/>
          </w:tcPr>
          <w:p>
            <w:pPr>
              <w:spacing w:after="60"/>
            </w:pPr>
            <w:r>
              <w:rPr>
                <w:b/>
                <w:i w:val="0"/>
                <w:sz w:val="22"/>
              </w:rPr>
              <w:t>Is the plant having difficulty extracting water?</w:t>
            </w:r>
          </w:p>
        </w:tc>
        <w:tc>
          <w:tcPr>
            <w:tcW w:type="dxa" w:w="5083"/>
            <w:vAlign w:val="center"/>
            <w:shd w:fill="FFFFFF"/>
          </w:tcPr>
          <w:p>
            <w:pPr>
              <w:spacing w:after="60"/>
            </w:pPr>
            <w:r>
              <w:rPr>
                <w:b w:val="0"/>
                <w:i w:val="0"/>
                <w:sz w:val="22"/>
              </w:rPr>
              <w:t>Tensiometer where the substrate is suitable</w:t>
            </w:r>
          </w:p>
        </w:tc>
      </w:tr>
      <w:tr>
        <w:trPr>
          <w:cantSplit/>
        </w:trPr>
        <w:tc>
          <w:tcPr>
            <w:tcW w:type="dxa" w:w="5083"/>
            <w:vAlign w:val="center"/>
            <w:shd w:fill="FFFFFF"/>
          </w:tcPr>
          <w:p>
            <w:pPr>
              <w:spacing w:after="60"/>
            </w:pPr>
            <w:r>
              <w:rPr>
                <w:b/>
                <w:i w:val="0"/>
                <w:sz w:val="22"/>
              </w:rPr>
              <w:t>Are fertilizer salts accumulating?</w:t>
            </w:r>
          </w:p>
        </w:tc>
        <w:tc>
          <w:tcPr>
            <w:tcW w:type="dxa" w:w="5083"/>
            <w:vAlign w:val="center"/>
            <w:shd w:fill="FFFFFF"/>
          </w:tcPr>
          <w:p>
            <w:pPr>
              <w:spacing w:after="60"/>
            </w:pPr>
            <w:r>
              <w:rPr>
                <w:b w:val="0"/>
                <w:i w:val="0"/>
                <w:sz w:val="22"/>
              </w:rPr>
              <w:t>Calibrated EC meter using a standardized extract/leachate method</w:t>
            </w:r>
          </w:p>
        </w:tc>
      </w:tr>
      <w:tr>
        <w:trPr>
          <w:cantSplit/>
        </w:trPr>
        <w:tc>
          <w:tcPr>
            <w:tcW w:type="dxa" w:w="5083"/>
            <w:vAlign w:val="center"/>
            <w:shd w:fill="FFFFFF"/>
          </w:tcPr>
          <w:p>
            <w:pPr>
              <w:spacing w:after="60"/>
            </w:pPr>
            <w:r>
              <w:rPr>
                <w:b/>
                <w:i w:val="0"/>
                <w:sz w:val="22"/>
              </w:rPr>
              <w:t>Is substrate pH correct?</w:t>
            </w:r>
          </w:p>
        </w:tc>
        <w:tc>
          <w:tcPr>
            <w:tcW w:type="dxa" w:w="5083"/>
            <w:vAlign w:val="center"/>
            <w:shd w:fill="FFFFFF"/>
          </w:tcPr>
          <w:p>
            <w:pPr>
              <w:spacing w:after="60"/>
            </w:pPr>
            <w:r>
              <w:rPr>
                <w:b w:val="0"/>
                <w:i w:val="0"/>
                <w:sz w:val="22"/>
              </w:rPr>
              <w:t>Calibrated pH meter using a standardized sample method</w:t>
            </w:r>
          </w:p>
        </w:tc>
      </w:tr>
      <w:tr>
        <w:trPr>
          <w:cantSplit/>
        </w:trPr>
        <w:tc>
          <w:tcPr>
            <w:tcW w:type="dxa" w:w="5083"/>
            <w:vAlign w:val="center"/>
            <w:shd w:fill="FFFFFF"/>
          </w:tcPr>
          <w:p>
            <w:pPr>
              <w:spacing w:after="60"/>
            </w:pPr>
            <w:r>
              <w:rPr>
                <w:b/>
                <w:i w:val="0"/>
                <w:sz w:val="22"/>
              </w:rPr>
              <w:t>Which nutrient is deficient/excessive?</w:t>
            </w:r>
          </w:p>
        </w:tc>
        <w:tc>
          <w:tcPr>
            <w:tcW w:type="dxa" w:w="5083"/>
            <w:vAlign w:val="center"/>
            <w:shd w:fill="FFFFFF"/>
          </w:tcPr>
          <w:p>
            <w:pPr>
              <w:spacing w:after="60"/>
            </w:pPr>
            <w:r>
              <w:rPr>
                <w:b w:val="0"/>
                <w:i w:val="0"/>
                <w:sz w:val="22"/>
              </w:rPr>
              <w:t>Laboratory substrate/tissue analysis or validated ion-specific testing</w:t>
            </w:r>
          </w:p>
        </w:tc>
      </w:tr>
    </w:tbl>
    <w:p>
      <w:pPr>
        <w:spacing w:after="20"/>
      </w:pPr>
    </w:p>
    <w:p>
      <w:pPr>
        <w:pStyle w:val="Heading2"/>
      </w:pPr>
      <w:r>
        <w:t>Calibration &amp; Use Rules</w:t>
      </w:r>
    </w:p>
    <w:p>
      <w:pPr>
        <w:pStyle w:val="ListBullet"/>
      </w:pPr>
      <w:r>
        <w:rPr>
          <w:b w:val="0"/>
          <w:i w:val="0"/>
        </w:rPr>
        <w:t>Calibrate pH and EC instruments with fresh standards at the frequency recommended by the manufacturer.</w:t>
      </w:r>
    </w:p>
    <w:p>
      <w:pPr>
        <w:pStyle w:val="ListBullet"/>
      </w:pPr>
      <w:r>
        <w:rPr>
          <w:b w:val="0"/>
          <w:i w:val="0"/>
        </w:rPr>
        <w:t>Compare readings only when sampling method, depth, moisture condition, and substrate are reasonably consistent.</w:t>
      </w:r>
    </w:p>
    <w:p>
      <w:pPr>
        <w:pStyle w:val="ListBullet"/>
      </w:pPr>
      <w:r>
        <w:rPr>
          <w:b w:val="0"/>
          <w:i w:val="0"/>
        </w:rPr>
        <w:t>Take several readings around a pot; roots and water are not distributed uniformly.</w:t>
      </w:r>
    </w:p>
    <w:p>
      <w:pPr>
        <w:pStyle w:val="ListBullet"/>
      </w:pPr>
      <w:r>
        <w:rPr>
          <w:b w:val="0"/>
          <w:i w:val="0"/>
        </w:rPr>
        <w:t>Clean electrodes after use. Do not scrape or abrade delicate pH sensing bulbs.</w:t>
      </w:r>
    </w:p>
    <w:p>
      <w:pPr>
        <w:pStyle w:val="ListBullet"/>
      </w:pPr>
      <w:r>
        <w:rPr>
          <w:b w:val="0"/>
          <w:i w:val="0"/>
        </w:rPr>
        <w:t>Use probe readings as trends unless the instrument and method provide defensible quantitative accuracy.</w:t>
      </w:r>
    </w:p>
    <w:p>
      <w:pPr>
        <w:pStyle w:val="Heading2"/>
      </w:pPr>
      <w:r>
        <w:t>Test strips measure a prepared sample, not the whole pot</w:t>
      </w:r>
    </w:p>
    <w:p>
      <w:r>
        <w:rPr>
          <w:b w:val="0"/>
          <w:i w:val="0"/>
        </w:rPr>
        <w:t>pH strips estimate acidity over the manufacturer’s stated range. Make the specified soil-water or substrate extract, allow solids to settle or filter as directed, and compare the developed color at the stated time under neutral lighting. Never press a dry strip into dry soil and treat the result as an accurate root-zone pH.</w:t>
      </w:r>
    </w:p>
    <w:p>
      <w:r>
        <w:rPr>
          <w:b w:val="0"/>
          <w:i w:val="0"/>
        </w:rPr>
        <w:t>Nitrate and other nutrient strips use analyte-specific chemistry. Confirm whether the scale reports nitrate, nitrate-nitrogen, phosphate, or another form; these units are not interchangeable. Match extraction ratio, water quality, timing, and concentration range to the kit. Salts, colored extracts, turbidity, interfering ions, expired reagents, and storage moisture can distort results.</w:t>
      </w:r>
    </w:p>
    <w:p>
      <w:r>
        <w:rPr>
          <w:b w:val="0"/>
          <w:i w:val="0"/>
        </w:rPr>
        <w:t>Use strips for screening or consistent trend checks. Broad color bands are semi-quantitative; a result near a treatment threshold needs confirmation with an appropriate calibrated method or laboratory. A strip result cannot by itself establish total nitrogen, all plant-available nutrients, or a fertilizer prescription.</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Method</w:t>
            </w:r>
          </w:p>
        </w:tc>
        <w:tc>
          <w:tcPr>
            <w:tcW w:type="dxa" w:w="3389"/>
            <w:vAlign w:val="center"/>
            <w:shd w:fill="E9EDF0"/>
          </w:tcPr>
          <w:p>
            <w:pPr>
              <w:spacing w:after="60"/>
            </w:pPr>
            <w:r>
              <w:rPr>
                <w:b/>
                <w:i w:val="0"/>
                <w:sz w:val="22"/>
              </w:rPr>
              <w:t>What it can answer</w:t>
            </w:r>
          </w:p>
        </w:tc>
        <w:tc>
          <w:tcPr>
            <w:tcW w:type="dxa" w:w="3389"/>
            <w:vAlign w:val="center"/>
            <w:shd w:fill="E9EDF0"/>
          </w:tcPr>
          <w:p>
            <w:pPr>
              <w:spacing w:after="60"/>
            </w:pPr>
            <w:r>
              <w:rPr>
                <w:b/>
                <w:i w:val="0"/>
                <w:sz w:val="22"/>
              </w:rPr>
              <w:t>What it cannot establish</w:t>
            </w:r>
          </w:p>
        </w:tc>
      </w:tr>
      <w:tr>
        <w:trPr>
          <w:cantSplit/>
        </w:trPr>
        <w:tc>
          <w:tcPr>
            <w:tcW w:type="dxa" w:w="3389"/>
            <w:vAlign w:val="center"/>
            <w:shd w:fill="FFFFFF"/>
          </w:tcPr>
          <w:p>
            <w:pPr>
              <w:spacing w:after="60"/>
            </w:pPr>
            <w:r>
              <w:rPr>
                <w:b/>
                <w:i w:val="0"/>
                <w:sz w:val="22"/>
              </w:rPr>
              <w:t>pH strip</w:t>
            </w:r>
          </w:p>
        </w:tc>
        <w:tc>
          <w:tcPr>
            <w:tcW w:type="dxa" w:w="3389"/>
            <w:vAlign w:val="center"/>
            <w:shd w:fill="FFFFFF"/>
          </w:tcPr>
          <w:p>
            <w:pPr>
              <w:spacing w:after="60"/>
            </w:pPr>
            <w:r>
              <w:rPr>
                <w:b w:val="0"/>
                <w:i w:val="0"/>
                <w:sz w:val="22"/>
              </w:rPr>
              <w:t>Approximate pH of the specified extract.</w:t>
            </w:r>
          </w:p>
        </w:tc>
        <w:tc>
          <w:tcPr>
            <w:tcW w:type="dxa" w:w="3389"/>
            <w:vAlign w:val="center"/>
            <w:shd w:fill="FFFFFF"/>
          </w:tcPr>
          <w:p>
            <w:pPr>
              <w:spacing w:after="60"/>
            </w:pPr>
            <w:r>
              <w:rPr>
                <w:b w:val="0"/>
                <w:i w:val="0"/>
                <w:sz w:val="22"/>
              </w:rPr>
              <w:t>Exact root-zone pH without validated sampling.</w:t>
            </w:r>
          </w:p>
        </w:tc>
      </w:tr>
      <w:tr>
        <w:trPr>
          <w:cantSplit/>
        </w:trPr>
        <w:tc>
          <w:tcPr>
            <w:tcW w:type="dxa" w:w="3389"/>
            <w:vAlign w:val="center"/>
            <w:shd w:fill="FFFFFF"/>
          </w:tcPr>
          <w:p>
            <w:pPr>
              <w:spacing w:after="60"/>
            </w:pPr>
            <w:r>
              <w:rPr>
                <w:b/>
                <w:i w:val="0"/>
                <w:sz w:val="22"/>
              </w:rPr>
              <w:t>Nutrient strip or color reagent kit</w:t>
            </w:r>
          </w:p>
        </w:tc>
        <w:tc>
          <w:tcPr>
            <w:tcW w:type="dxa" w:w="3389"/>
            <w:vAlign w:val="center"/>
            <w:shd w:fill="FFFFFF"/>
          </w:tcPr>
          <w:p>
            <w:pPr>
              <w:spacing w:after="60"/>
            </w:pPr>
            <w:r>
              <w:rPr>
                <w:b w:val="0"/>
                <w:i w:val="0"/>
                <w:sz w:val="22"/>
              </w:rPr>
              <w:t>The specific analyte in the prepared extract.</w:t>
            </w:r>
          </w:p>
        </w:tc>
        <w:tc>
          <w:tcPr>
            <w:tcW w:type="dxa" w:w="3389"/>
            <w:vAlign w:val="center"/>
            <w:shd w:fill="FFFFFF"/>
          </w:tcPr>
          <w:p>
            <w:pPr>
              <w:spacing w:after="60"/>
            </w:pPr>
            <w:r>
              <w:rPr>
                <w:b w:val="0"/>
                <w:i w:val="0"/>
                <w:sz w:val="22"/>
              </w:rPr>
              <w:t>All nutrients or their availability to the plant.</w:t>
            </w:r>
          </w:p>
        </w:tc>
      </w:tr>
      <w:tr>
        <w:trPr>
          <w:cantSplit/>
        </w:trPr>
        <w:tc>
          <w:tcPr>
            <w:tcW w:type="dxa" w:w="3389"/>
            <w:vAlign w:val="center"/>
            <w:shd w:fill="FFFFFF"/>
          </w:tcPr>
          <w:p>
            <w:pPr>
              <w:spacing w:after="60"/>
            </w:pPr>
            <w:r>
              <w:rPr>
                <w:b/>
                <w:i w:val="0"/>
                <w:sz w:val="22"/>
              </w:rPr>
              <w:t>EC reading</w:t>
            </w:r>
          </w:p>
        </w:tc>
        <w:tc>
          <w:tcPr>
            <w:tcW w:type="dxa" w:w="3389"/>
            <w:vAlign w:val="center"/>
            <w:shd w:fill="FFFFFF"/>
          </w:tcPr>
          <w:p>
            <w:pPr>
              <w:spacing w:after="60"/>
            </w:pPr>
            <w:r>
              <w:rPr>
                <w:b w:val="0"/>
                <w:i w:val="0"/>
                <w:sz w:val="22"/>
              </w:rPr>
              <w:t>Combined conductive-ion load.</w:t>
            </w:r>
          </w:p>
        </w:tc>
        <w:tc>
          <w:tcPr>
            <w:tcW w:type="dxa" w:w="3389"/>
            <w:vAlign w:val="center"/>
            <w:shd w:fill="FFFFFF"/>
          </w:tcPr>
          <w:p>
            <w:pPr>
              <w:spacing w:after="60"/>
            </w:pPr>
            <w:r>
              <w:rPr>
                <w:b w:val="0"/>
                <w:i w:val="0"/>
                <w:sz w:val="22"/>
              </w:rPr>
              <w:t>The amount of each individual nutrient.</w:t>
            </w:r>
          </w:p>
        </w:tc>
      </w:tr>
      <w:tr>
        <w:trPr>
          <w:cantSplit/>
        </w:trPr>
        <w:tc>
          <w:tcPr>
            <w:tcW w:type="dxa" w:w="3389"/>
            <w:vAlign w:val="center"/>
            <w:shd w:fill="FFFFFF"/>
          </w:tcPr>
          <w:p>
            <w:pPr>
              <w:spacing w:after="60"/>
            </w:pPr>
            <w:r>
              <w:rPr>
                <w:b/>
                <w:i w:val="0"/>
                <w:sz w:val="22"/>
              </w:rPr>
              <w:t>Laboratory test</w:t>
            </w:r>
          </w:p>
        </w:tc>
        <w:tc>
          <w:tcPr>
            <w:tcW w:type="dxa" w:w="3389"/>
            <w:vAlign w:val="center"/>
            <w:shd w:fill="FFFFFF"/>
          </w:tcPr>
          <w:p>
            <w:pPr>
              <w:spacing w:after="60"/>
            </w:pPr>
            <w:r>
              <w:rPr>
                <w:b w:val="0"/>
                <w:i w:val="0"/>
                <w:sz w:val="22"/>
              </w:rPr>
              <w:t>Method-specific pH, salinity and extractable nutrients.</w:t>
            </w:r>
          </w:p>
        </w:tc>
        <w:tc>
          <w:tcPr>
            <w:tcW w:type="dxa" w:w="3389"/>
            <w:vAlign w:val="center"/>
            <w:shd w:fill="FFFFFF"/>
          </w:tcPr>
          <w:p>
            <w:pPr>
              <w:spacing w:after="60"/>
            </w:pPr>
            <w:r>
              <w:rPr>
                <w:b w:val="0"/>
                <w:i w:val="0"/>
                <w:sz w:val="22"/>
              </w:rPr>
              <w:t>A perfect prediction of growth without plant and site context.</w:t>
            </w:r>
          </w:p>
        </w:tc>
      </w:tr>
    </w:tbl>
    <w:p>
      <w:pPr>
        <w:spacing w:after="20"/>
      </w:pPr>
    </w:p>
    <w:p>
      <w:pPr>
        <w:pStyle w:val="Heading2"/>
      </w:pPr>
      <w:r>
        <w:t>Sources and revision note</w:t>
      </w:r>
    </w:p>
    <w:p>
      <w:hyperlink r:id="rId12">
        <w:r>
          <w:rPr>
            <w:color w:val="245B43"/>
            <w:u w:val="single"/>
          </w:rPr>
          <w:t>Whipker, Cavins and Fonteno, NC State: 1, 2, 3s of PourThru</w:t>
        </w:r>
      </w:hyperlink>
    </w:p>
    <w:p>
      <w:hyperlink r:id="rId13">
        <w:r>
          <w:rPr>
            <w:color w:val="245B43"/>
            <w:u w:val="single"/>
          </w:rPr>
          <w:t>USDA NRCS: Soil Survey Manual</w:t>
        </w:r>
      </w:hyperlink>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lant-testing-probes-and-strips/" TargetMode="External"/><Relationship Id="rId12" Type="http://schemas.openxmlformats.org/officeDocument/2006/relationships/hyperlink" Target="https://ag.montana.edu/pgc/documents/123s%20of%20PourThru.pdf" TargetMode="External"/><Relationship Id="rId13" Type="http://schemas.openxmlformats.org/officeDocument/2006/relationships/hyperlink" Target="https://www.nrcs.usda.gov/resources/guides-and-instructions/soil-survey-manual"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plant testing probes and strips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