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Plant Potting Mixes</w:t>
      </w:r>
    </w:p>
    <w:p>
      <w:pPr>
        <w:spacing w:after="320"/>
      </w:pPr>
      <w:r>
        <w:t>Combined Information Sheets</w:t>
      </w:r>
    </w:p>
    <w:p>
      <w:pPr>
        <w:pStyle w:val="Heading1"/>
      </w:pPr>
      <w:r>
        <w:t>Plant Potting Mixes</w:t>
      </w:r>
    </w:p>
    <w:p>
      <w:r>
        <w:rPr>
          <w:b/>
        </w:rPr>
        <w:t xml:space="preserve">Online Information Sheet: </w:t>
      </w:r>
      <w:hyperlink r:id="rId11">
        <w:r>
          <w:rPr>
            <w:color w:val="245B43"/>
            <w:u w:val="single"/>
          </w:rPr>
          <w:t>planteducationproject.com/guides/plant-potting-mixes/</w:t>
        </w:r>
      </w:hyperlink>
    </w:p>
    <w:p>
      <w:r>
        <w:rPr>
          <w:b w:val="0"/>
          <w:i w:val="0"/>
        </w:rPr>
        <w:t>🌿 Information Sheet</w:t>
      </w:r>
    </w:p>
    <w:p>
      <w:pPr>
        <w:pStyle w:val="Heading2"/>
      </w:pPr>
      <w:r>
        <w:t>Seven Standard container mixes — all proportions are by volume</w:t>
      </w:r>
    </w:p>
    <w:p>
      <w:pPr>
        <w:pStyle w:val="Heading2"/>
      </w:pPr>
      <w:r>
        <w:t>Desert Cactus</w:t>
      </w:r>
    </w:p>
    <w:p>
      <w:r>
        <w:rPr>
          <w:b/>
          <w:i w:val="0"/>
        </w:rPr>
        <w:t xml:space="preserve">Purpose: </w:t>
      </w:r>
      <w:r>
        <w:t>Desert and other xeric cacti adapted to highly aerated soils that dry rapidly.</w:t>
      </w:r>
    </w:p>
    <w:p>
      <w:r>
        <w:rPr>
          <w:b w:val="0"/>
          <w:i w:val="0"/>
        </w:rPr>
        <w:t>Standard formula: 1 part generic potting soil + 2 parts granite chicken grit, by volume.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Ingredient</w:t>
            </w:r>
          </w:p>
        </w:tc>
        <w:tc>
          <w:tcPr>
            <w:tcW w:type="dxa" w:w="3389"/>
            <w:vAlign w:val="center"/>
            <w:shd w:fill="E9EDF0"/>
          </w:tcPr>
          <w:p>
            <w:pPr>
              <w:spacing w:after="60"/>
            </w:pPr>
            <w:r>
              <w:rPr>
                <w:b/>
                <w:i w:val="0"/>
                <w:sz w:val="22"/>
              </w:rPr>
              <w:t>Parts</w:t>
            </w:r>
          </w:p>
        </w:tc>
        <w:tc>
          <w:tcPr>
            <w:tcW w:type="dxa" w:w="3389"/>
            <w:vAlign w:val="center"/>
            <w:shd w:fill="E9EDF0"/>
          </w:tcPr>
          <w:p>
            <w:pPr>
              <w:spacing w:after="60"/>
            </w:pPr>
            <w:r>
              <w:rPr>
                <w:b/>
                <w:i w:val="0"/>
                <w:sz w:val="22"/>
              </w:rPr>
              <w:t>Function</w:t>
            </w:r>
          </w:p>
        </w:tc>
      </w:tr>
      <w:tr>
        <w:trPr>
          <w:cantSplit/>
        </w:trPr>
        <w:tc>
          <w:tcPr>
            <w:tcW w:type="dxa" w:w="3389"/>
            <w:vAlign w:val="center"/>
            <w:shd w:fill="FFFFFF"/>
          </w:tcPr>
          <w:p>
            <w:pPr>
              <w:spacing w:after="60"/>
            </w:pPr>
            <w:r>
              <w:rPr>
                <w:b/>
                <w:i w:val="0"/>
                <w:sz w:val="22"/>
              </w:rPr>
              <w:t>Generic potting soil</w:t>
            </w:r>
          </w:p>
        </w:tc>
        <w:tc>
          <w:tcPr>
            <w:tcW w:type="dxa" w:w="3389"/>
            <w:vAlign w:val="center"/>
            <w:shd w:fill="FFFFFF"/>
          </w:tcPr>
          <w:p>
            <w:pPr>
              <w:spacing w:after="60"/>
            </w:pPr>
            <w:r>
              <w:rPr>
                <w:b w:val="0"/>
                <w:i w:val="0"/>
                <w:sz w:val="22"/>
              </w:rPr>
              <w:t>1</w:t>
            </w:r>
          </w:p>
        </w:tc>
        <w:tc>
          <w:tcPr>
            <w:tcW w:type="dxa" w:w="3389"/>
            <w:vAlign w:val="center"/>
            <w:shd w:fill="FFFFFF"/>
          </w:tcPr>
          <w:p>
            <w:pPr>
              <w:spacing w:after="60"/>
            </w:pPr>
            <w:r>
              <w:rPr>
                <w:b w:val="0"/>
                <w:i w:val="0"/>
                <w:sz w:val="22"/>
              </w:rPr>
              <w:t>Moisture and nutrient reserve</w:t>
            </w:r>
          </w:p>
        </w:tc>
      </w:tr>
      <w:tr>
        <w:trPr>
          <w:cantSplit/>
        </w:trPr>
        <w:tc>
          <w:tcPr>
            <w:tcW w:type="dxa" w:w="3389"/>
            <w:vAlign w:val="center"/>
            <w:shd w:fill="FFFFFF"/>
          </w:tcPr>
          <w:p>
            <w:pPr>
              <w:spacing w:after="60"/>
            </w:pPr>
            <w:r>
              <w:rPr>
                <w:b/>
                <w:i w:val="0"/>
                <w:sz w:val="22"/>
              </w:rPr>
              <w:t>Granite chicken grit</w:t>
            </w:r>
          </w:p>
        </w:tc>
        <w:tc>
          <w:tcPr>
            <w:tcW w:type="dxa" w:w="3389"/>
            <w:vAlign w:val="center"/>
            <w:shd w:fill="FFFFFF"/>
          </w:tcPr>
          <w:p>
            <w:pPr>
              <w:spacing w:after="60"/>
            </w:pPr>
            <w:r>
              <w:rPr>
                <w:b w:val="0"/>
                <w:i w:val="0"/>
                <w:sz w:val="22"/>
              </w:rPr>
              <w:t>2</w:t>
            </w:r>
          </w:p>
        </w:tc>
        <w:tc>
          <w:tcPr>
            <w:tcW w:type="dxa" w:w="3389"/>
            <w:vAlign w:val="center"/>
            <w:shd w:fill="FFFFFF"/>
          </w:tcPr>
          <w:p>
            <w:pPr>
              <w:spacing w:after="60"/>
            </w:pPr>
            <w:r>
              <w:rPr>
                <w:b w:val="0"/>
                <w:i w:val="0"/>
                <w:sz w:val="22"/>
              </w:rPr>
              <w:t>Mineral structure and weight</w:t>
            </w:r>
          </w:p>
        </w:tc>
      </w:tr>
    </w:tbl>
    <w:p>
      <w:pPr>
        <w:spacing w:after="20"/>
      </w:pPr>
    </w:p>
    <w:p>
      <w:r>
        <w:rPr>
          <w:b/>
          <w:i w:val="0"/>
        </w:rPr>
        <w:t xml:space="preserve">Mix behavior: </w:t>
      </w:r>
      <w:r>
        <w:t>The driest and most mineral of the Standard mixes. Water moves through quickly and the root zone regains air rapidly.</w:t>
      </w:r>
    </w:p>
    <w:p>
      <w:r>
        <w:rPr>
          <w:b/>
          <w:i w:val="0"/>
        </w:rPr>
        <w:t xml:space="preserve">How to use: </w:t>
      </w:r>
      <w:r>
        <w:t>Pot into a container with an unobstructed drainage hole. After watering, allow the mix to dry thoroughly before watering again. Reduce watering substantially during cool or low-light periods.</w:t>
      </w:r>
    </w:p>
    <w:p>
      <w:r>
        <w:rPr>
          <w:b/>
          <w:i w:val="0"/>
        </w:rPr>
        <w:t xml:space="preserve">Why it works: </w:t>
      </w:r>
      <w:r>
        <w:t>Most desert cacti are damaged more readily by prolonged wet, oxygen-poor roots than by short dry periods. The high mineral fraction reduces water retention and compaction.</w:t>
      </w:r>
    </w:p>
    <w:p>
      <w:r>
        <w:rPr>
          <w:b/>
          <w:i w:val="0"/>
        </w:rPr>
        <w:t xml:space="preserve">Important caution: </w:t>
      </w:r>
      <w:r>
        <w:t>Do not improve this mix by adding extra compost or ordinary garden soil. Both can hold excessive water and reduce root-zone aeration.</w:t>
      </w:r>
    </w:p>
    <w:p>
      <w:pPr>
        <w:pStyle w:val="Heading2"/>
      </w:pPr>
      <w:r>
        <w:t>Succulent</w:t>
      </w:r>
    </w:p>
    <w:p>
      <w:r>
        <w:rPr>
          <w:b/>
          <w:i w:val="0"/>
        </w:rPr>
        <w:t xml:space="preserve">Purpose: </w:t>
      </w:r>
      <w:r>
        <w:t>Most fleshy-leaved and fleshy-stemmed succulents, including many Haworthia, Echeveria, Crassula, Graptopetalum, and similar plants.</w:t>
      </w:r>
    </w:p>
    <w:p>
      <w:r>
        <w:rPr>
          <w:b w:val="0"/>
          <w:i w:val="0"/>
        </w:rPr>
        <w:t>Standard formula: 1 part generic potting soil + 1 part granite chicken grit, by volume.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Ingredient</w:t>
            </w:r>
          </w:p>
        </w:tc>
        <w:tc>
          <w:tcPr>
            <w:tcW w:type="dxa" w:w="3389"/>
            <w:vAlign w:val="center"/>
            <w:shd w:fill="E9EDF0"/>
          </w:tcPr>
          <w:p>
            <w:pPr>
              <w:spacing w:after="60"/>
            </w:pPr>
            <w:r>
              <w:rPr>
                <w:b/>
                <w:i w:val="0"/>
                <w:sz w:val="22"/>
              </w:rPr>
              <w:t>Parts</w:t>
            </w:r>
          </w:p>
        </w:tc>
        <w:tc>
          <w:tcPr>
            <w:tcW w:type="dxa" w:w="3389"/>
            <w:vAlign w:val="center"/>
            <w:shd w:fill="E9EDF0"/>
          </w:tcPr>
          <w:p>
            <w:pPr>
              <w:spacing w:after="60"/>
            </w:pPr>
            <w:r>
              <w:rPr>
                <w:b/>
                <w:i w:val="0"/>
                <w:sz w:val="22"/>
              </w:rPr>
              <w:t>Function</w:t>
            </w:r>
          </w:p>
        </w:tc>
      </w:tr>
      <w:tr>
        <w:trPr>
          <w:cantSplit/>
        </w:trPr>
        <w:tc>
          <w:tcPr>
            <w:tcW w:type="dxa" w:w="3389"/>
            <w:vAlign w:val="center"/>
            <w:shd w:fill="FFFFFF"/>
          </w:tcPr>
          <w:p>
            <w:pPr>
              <w:spacing w:after="60"/>
            </w:pPr>
            <w:r>
              <w:rPr>
                <w:b/>
                <w:i w:val="0"/>
                <w:sz w:val="22"/>
              </w:rPr>
              <w:t>Generic potting soil</w:t>
            </w:r>
          </w:p>
        </w:tc>
        <w:tc>
          <w:tcPr>
            <w:tcW w:type="dxa" w:w="3389"/>
            <w:vAlign w:val="center"/>
            <w:shd w:fill="FFFFFF"/>
          </w:tcPr>
          <w:p>
            <w:pPr>
              <w:spacing w:after="60"/>
            </w:pPr>
            <w:r>
              <w:rPr>
                <w:b w:val="0"/>
                <w:i w:val="0"/>
                <w:sz w:val="22"/>
              </w:rPr>
              <w:t>1</w:t>
            </w:r>
          </w:p>
        </w:tc>
        <w:tc>
          <w:tcPr>
            <w:tcW w:type="dxa" w:w="3389"/>
            <w:vAlign w:val="center"/>
            <w:shd w:fill="FFFFFF"/>
          </w:tcPr>
          <w:p>
            <w:pPr>
              <w:spacing w:after="60"/>
            </w:pPr>
            <w:r>
              <w:rPr>
                <w:b w:val="0"/>
                <w:i w:val="0"/>
                <w:sz w:val="22"/>
              </w:rPr>
              <w:t>Moisture and nutrient reserve</w:t>
            </w:r>
          </w:p>
        </w:tc>
      </w:tr>
      <w:tr>
        <w:trPr>
          <w:cantSplit/>
        </w:trPr>
        <w:tc>
          <w:tcPr>
            <w:tcW w:type="dxa" w:w="3389"/>
            <w:vAlign w:val="center"/>
            <w:shd w:fill="FFFFFF"/>
          </w:tcPr>
          <w:p>
            <w:pPr>
              <w:spacing w:after="60"/>
            </w:pPr>
            <w:r>
              <w:rPr>
                <w:b/>
                <w:i w:val="0"/>
                <w:sz w:val="22"/>
              </w:rPr>
              <w:t>Granite chicken grit</w:t>
            </w:r>
          </w:p>
        </w:tc>
        <w:tc>
          <w:tcPr>
            <w:tcW w:type="dxa" w:w="3389"/>
            <w:vAlign w:val="center"/>
            <w:shd w:fill="FFFFFF"/>
          </w:tcPr>
          <w:p>
            <w:pPr>
              <w:spacing w:after="60"/>
            </w:pPr>
            <w:r>
              <w:rPr>
                <w:b w:val="0"/>
                <w:i w:val="0"/>
                <w:sz w:val="22"/>
              </w:rPr>
              <w:t>1</w:t>
            </w:r>
          </w:p>
        </w:tc>
        <w:tc>
          <w:tcPr>
            <w:tcW w:type="dxa" w:w="3389"/>
            <w:vAlign w:val="center"/>
            <w:shd w:fill="FFFFFF"/>
          </w:tcPr>
          <w:p>
            <w:pPr>
              <w:spacing w:after="60"/>
            </w:pPr>
            <w:r>
              <w:rPr>
                <w:b w:val="0"/>
                <w:i w:val="0"/>
                <w:sz w:val="22"/>
              </w:rPr>
              <w:t>Mineral structure and weight</w:t>
            </w:r>
          </w:p>
        </w:tc>
      </w:tr>
    </w:tbl>
    <w:p>
      <w:pPr>
        <w:spacing w:after="20"/>
      </w:pPr>
    </w:p>
    <w:p>
      <w:r>
        <w:rPr>
          <w:b/>
          <w:i w:val="0"/>
        </w:rPr>
        <w:t xml:space="preserve">Mix behavior: </w:t>
      </w:r>
      <w:r>
        <w:t>Fast draining but somewhat more moisture-retentive than the Desert Cactus Mix.</w:t>
      </w:r>
    </w:p>
    <w:p>
      <w:r>
        <w:rPr>
          <w:b/>
          <w:i w:val="0"/>
        </w:rPr>
        <w:t xml:space="preserve">How to use: </w:t>
      </w:r>
      <w:r>
        <w:t>Water thoroughly, allow excess water to drain, then allow much of the mix to dry before watering again. Exact drying time depends on species, light, temperature, pot size, and season.</w:t>
      </w:r>
    </w:p>
    <w:p>
      <w:r>
        <w:rPr>
          <w:b/>
          <w:i w:val="0"/>
        </w:rPr>
        <w:t xml:space="preserve">Why it works: </w:t>
      </w:r>
      <w:r>
        <w:t>Succulent tissues store water, so roots do not need continuously moist soil. The mix supplies some moisture while maintaining substantial air space.</w:t>
      </w:r>
    </w:p>
    <w:p>
      <w:r>
        <w:rPr>
          <w:b/>
          <w:i w:val="0"/>
        </w:rPr>
        <w:t xml:space="preserve">Important caution: </w:t>
      </w:r>
      <w:r>
        <w:t>A succulent pot that remains wet for many days usually needs less frequent watering, a smaller pot, more mineral material, or improved drainage.</w:t>
      </w:r>
    </w:p>
    <w:p>
      <w:pPr>
        <w:pStyle w:val="Heading2"/>
      </w:pPr>
      <w:r>
        <w:t>Tropical Cactus &amp; Epiphyte</w:t>
      </w:r>
    </w:p>
    <w:p>
      <w:r>
        <w:rPr>
          <w:b/>
          <w:i w:val="0"/>
        </w:rPr>
        <w:t xml:space="preserve">Purpose: </w:t>
      </w:r>
      <w:r>
        <w:t>Forest cacti and epiphytic plants such as Christmas cactus, Easter cactus, and mistletoe cactus that naturally grow in organic debris, bark crevices, or other airy habitats.</w:t>
      </w:r>
    </w:p>
    <w:p>
      <w:r>
        <w:rPr>
          <w:b w:val="0"/>
          <w:i w:val="0"/>
        </w:rPr>
        <w:t>Standard formula: 4 parts generic potting soil + 3 parts compost-rich raised-bed/in-ground soil ingredient + 3 parts coarse perlite, by volume.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Ingredient</w:t>
            </w:r>
          </w:p>
        </w:tc>
        <w:tc>
          <w:tcPr>
            <w:tcW w:type="dxa" w:w="3389"/>
            <w:vAlign w:val="center"/>
            <w:shd w:fill="E9EDF0"/>
          </w:tcPr>
          <w:p>
            <w:pPr>
              <w:spacing w:after="60"/>
            </w:pPr>
            <w:r>
              <w:rPr>
                <w:b/>
                <w:i w:val="0"/>
                <w:sz w:val="22"/>
              </w:rPr>
              <w:t>Parts</w:t>
            </w:r>
          </w:p>
        </w:tc>
        <w:tc>
          <w:tcPr>
            <w:tcW w:type="dxa" w:w="3389"/>
            <w:vAlign w:val="center"/>
            <w:shd w:fill="E9EDF0"/>
          </w:tcPr>
          <w:p>
            <w:pPr>
              <w:spacing w:after="60"/>
            </w:pPr>
            <w:r>
              <w:rPr>
                <w:b/>
                <w:i w:val="0"/>
                <w:sz w:val="22"/>
              </w:rPr>
              <w:t>Function</w:t>
            </w:r>
          </w:p>
        </w:tc>
      </w:tr>
      <w:tr>
        <w:trPr>
          <w:cantSplit/>
        </w:trPr>
        <w:tc>
          <w:tcPr>
            <w:tcW w:type="dxa" w:w="3389"/>
            <w:vAlign w:val="center"/>
            <w:shd w:fill="FFFFFF"/>
          </w:tcPr>
          <w:p>
            <w:pPr>
              <w:spacing w:after="60"/>
            </w:pPr>
            <w:r>
              <w:rPr>
                <w:b/>
                <w:i w:val="0"/>
                <w:sz w:val="22"/>
              </w:rPr>
              <w:t>Generic potting soil</w:t>
            </w:r>
          </w:p>
        </w:tc>
        <w:tc>
          <w:tcPr>
            <w:tcW w:type="dxa" w:w="3389"/>
            <w:vAlign w:val="center"/>
            <w:shd w:fill="FFFFFF"/>
          </w:tcPr>
          <w:p>
            <w:pPr>
              <w:spacing w:after="60"/>
            </w:pPr>
            <w:r>
              <w:rPr>
                <w:b w:val="0"/>
                <w:i w:val="0"/>
                <w:sz w:val="22"/>
              </w:rPr>
              <w:t>4</w:t>
            </w:r>
          </w:p>
        </w:tc>
        <w:tc>
          <w:tcPr>
            <w:tcW w:type="dxa" w:w="3389"/>
            <w:vAlign w:val="center"/>
            <w:shd w:fill="FFFFFF"/>
          </w:tcPr>
          <w:p>
            <w:pPr>
              <w:spacing w:after="60"/>
            </w:pPr>
            <w:r>
              <w:rPr>
                <w:b w:val="0"/>
                <w:i w:val="0"/>
                <w:sz w:val="22"/>
              </w:rPr>
              <w:t>Base and moisture reserve</w:t>
            </w:r>
          </w:p>
        </w:tc>
      </w:tr>
      <w:tr>
        <w:trPr>
          <w:cantSplit/>
        </w:trPr>
        <w:tc>
          <w:tcPr>
            <w:tcW w:type="dxa" w:w="3389"/>
            <w:vAlign w:val="center"/>
            <w:shd w:fill="FFFFFF"/>
          </w:tcPr>
          <w:p>
            <w:pPr>
              <w:spacing w:after="60"/>
            </w:pPr>
            <w:r>
              <w:rPr>
                <w:b/>
                <w:i w:val="0"/>
                <w:sz w:val="22"/>
              </w:rPr>
              <w:t>Compost-rich raised-bed/in-ground soil ingredient</w:t>
            </w:r>
          </w:p>
        </w:tc>
        <w:tc>
          <w:tcPr>
            <w:tcW w:type="dxa" w:w="3389"/>
            <w:vAlign w:val="center"/>
            <w:shd w:fill="FFFFFF"/>
          </w:tcPr>
          <w:p>
            <w:pPr>
              <w:spacing w:after="60"/>
            </w:pPr>
            <w:r>
              <w:rPr>
                <w:b w:val="0"/>
                <w:i w:val="0"/>
                <w:sz w:val="22"/>
              </w:rPr>
              <w:t>3</w:t>
            </w:r>
          </w:p>
        </w:tc>
        <w:tc>
          <w:tcPr>
            <w:tcW w:type="dxa" w:w="3389"/>
            <w:vAlign w:val="center"/>
            <w:shd w:fill="FFFFFF"/>
          </w:tcPr>
          <w:p>
            <w:pPr>
              <w:spacing w:after="60"/>
            </w:pPr>
            <w:r>
              <w:rPr>
                <w:b w:val="0"/>
                <w:i w:val="0"/>
                <w:sz w:val="22"/>
              </w:rPr>
              <w:t>Organic matter and nutrient reserve</w:t>
            </w:r>
          </w:p>
        </w:tc>
      </w:tr>
      <w:tr>
        <w:trPr>
          <w:cantSplit/>
        </w:trPr>
        <w:tc>
          <w:tcPr>
            <w:tcW w:type="dxa" w:w="3389"/>
            <w:vAlign w:val="center"/>
            <w:shd w:fill="FFFFFF"/>
          </w:tcPr>
          <w:p>
            <w:pPr>
              <w:spacing w:after="60"/>
            </w:pPr>
            <w:r>
              <w:rPr>
                <w:b/>
                <w:i w:val="0"/>
                <w:sz w:val="22"/>
              </w:rPr>
              <w:t>Coarse perlite</w:t>
            </w:r>
          </w:p>
        </w:tc>
        <w:tc>
          <w:tcPr>
            <w:tcW w:type="dxa" w:w="3389"/>
            <w:vAlign w:val="center"/>
            <w:shd w:fill="FFFFFF"/>
          </w:tcPr>
          <w:p>
            <w:pPr>
              <w:spacing w:after="60"/>
            </w:pPr>
            <w:r>
              <w:rPr>
                <w:b w:val="0"/>
                <w:i w:val="0"/>
                <w:sz w:val="22"/>
              </w:rPr>
              <w:t>3</w:t>
            </w:r>
          </w:p>
        </w:tc>
        <w:tc>
          <w:tcPr>
            <w:tcW w:type="dxa" w:w="3389"/>
            <w:vAlign w:val="center"/>
            <w:shd w:fill="FFFFFF"/>
          </w:tcPr>
          <w:p>
            <w:pPr>
              <w:spacing w:after="60"/>
            </w:pPr>
            <w:r>
              <w:rPr>
                <w:b w:val="0"/>
                <w:i w:val="0"/>
                <w:sz w:val="22"/>
              </w:rPr>
              <w:t>Aeration</w:t>
            </w:r>
          </w:p>
        </w:tc>
      </w:tr>
    </w:tbl>
    <w:p>
      <w:pPr>
        <w:spacing w:after="20"/>
      </w:pPr>
    </w:p>
    <w:p>
      <w:r>
        <w:rPr>
          <w:b w:val="0"/>
          <w:i w:val="0"/>
        </w:rPr>
        <w:t>Mix behavior: More moisture-retentive than the desert-cactus formula; coarse perlite supplies air space. Judge actual drainage and drying in the intended pot.</w:t>
      </w:r>
    </w:p>
    <w:p>
      <w:r>
        <w:rPr>
          <w:b/>
          <w:i w:val="0"/>
        </w:rPr>
        <w:t xml:space="preserve">How to use: </w:t>
      </w:r>
      <w:r>
        <w:t>Water thoroughly and drain. Do not routinely let the root ball remain bone-dry for long periods; rewater when the mix has partly dried according to the species.</w:t>
      </w:r>
    </w:p>
    <w:p>
      <w:r>
        <w:rPr>
          <w:b/>
          <w:i w:val="0"/>
        </w:rPr>
        <w:t xml:space="preserve">Why it works: </w:t>
      </w:r>
      <w:r>
        <w:t>Forest cacti are cacti, but their roots evolved in more humid environments than desert species. They need both oxygen and a more dependable moisture supply.</w:t>
      </w:r>
    </w:p>
    <w:p>
      <w:r>
        <w:rPr>
          <w:b/>
          <w:i w:val="0"/>
        </w:rPr>
        <w:t xml:space="preserve">Important caution: </w:t>
      </w:r>
      <w:r>
        <w:t>Do not treat a forest cactus as a desert cactus merely because both are called cactus. Their root environments are substantially different.</w:t>
      </w:r>
    </w:p>
    <w:p>
      <w:pPr>
        <w:pStyle w:val="Heading2"/>
      </w:pPr>
      <w:r>
        <w:t>Tropical Houseplant</w:t>
      </w:r>
    </w:p>
    <w:p>
      <w:r>
        <w:rPr>
          <w:b/>
          <w:i w:val="0"/>
        </w:rPr>
        <w:t xml:space="preserve">Purpose: </w:t>
      </w:r>
      <w:r>
        <w:t>General tropical foliage plants including pothos, philodendron, peperomia, tropical ivy, and many common indoor foliage plants.</w:t>
      </w:r>
    </w:p>
    <w:p>
      <w:r>
        <w:rPr>
          <w:b w:val="0"/>
          <w:i w:val="0"/>
        </w:rPr>
        <w:t>Standard formula: 1 part generic potting soil + 1 part coarse perlite, by volume.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Ingredient</w:t>
            </w:r>
          </w:p>
        </w:tc>
        <w:tc>
          <w:tcPr>
            <w:tcW w:type="dxa" w:w="3389"/>
            <w:vAlign w:val="center"/>
            <w:shd w:fill="E9EDF0"/>
          </w:tcPr>
          <w:p>
            <w:pPr>
              <w:spacing w:after="60"/>
            </w:pPr>
            <w:r>
              <w:rPr>
                <w:b/>
                <w:i w:val="0"/>
                <w:sz w:val="22"/>
              </w:rPr>
              <w:t>Parts</w:t>
            </w:r>
          </w:p>
        </w:tc>
        <w:tc>
          <w:tcPr>
            <w:tcW w:type="dxa" w:w="3389"/>
            <w:vAlign w:val="center"/>
            <w:shd w:fill="E9EDF0"/>
          </w:tcPr>
          <w:p>
            <w:pPr>
              <w:spacing w:after="60"/>
            </w:pPr>
            <w:r>
              <w:rPr>
                <w:b/>
                <w:i w:val="0"/>
                <w:sz w:val="22"/>
              </w:rPr>
              <w:t>Function</w:t>
            </w:r>
          </w:p>
        </w:tc>
      </w:tr>
      <w:tr>
        <w:trPr>
          <w:cantSplit/>
        </w:trPr>
        <w:tc>
          <w:tcPr>
            <w:tcW w:type="dxa" w:w="3389"/>
            <w:vAlign w:val="center"/>
            <w:shd w:fill="FFFFFF"/>
          </w:tcPr>
          <w:p>
            <w:pPr>
              <w:spacing w:after="60"/>
            </w:pPr>
            <w:r>
              <w:rPr>
                <w:b/>
                <w:i w:val="0"/>
                <w:sz w:val="22"/>
              </w:rPr>
              <w:t>Generic potting soil</w:t>
            </w:r>
          </w:p>
        </w:tc>
        <w:tc>
          <w:tcPr>
            <w:tcW w:type="dxa" w:w="3389"/>
            <w:vAlign w:val="center"/>
            <w:shd w:fill="FFFFFF"/>
          </w:tcPr>
          <w:p>
            <w:pPr>
              <w:spacing w:after="60"/>
            </w:pPr>
            <w:r>
              <w:rPr>
                <w:b w:val="0"/>
                <w:i w:val="0"/>
                <w:sz w:val="22"/>
              </w:rPr>
              <w:t>1</w:t>
            </w:r>
          </w:p>
        </w:tc>
        <w:tc>
          <w:tcPr>
            <w:tcW w:type="dxa" w:w="3389"/>
            <w:vAlign w:val="center"/>
            <w:shd w:fill="FFFFFF"/>
          </w:tcPr>
          <w:p>
            <w:pPr>
              <w:spacing w:after="60"/>
            </w:pPr>
            <w:r>
              <w:rPr>
                <w:b w:val="0"/>
                <w:i w:val="0"/>
                <w:sz w:val="22"/>
              </w:rPr>
              <w:t>Base and moisture reserve</w:t>
            </w:r>
          </w:p>
        </w:tc>
      </w:tr>
      <w:tr>
        <w:trPr>
          <w:cantSplit/>
        </w:trPr>
        <w:tc>
          <w:tcPr>
            <w:tcW w:type="dxa" w:w="3389"/>
            <w:vAlign w:val="center"/>
            <w:shd w:fill="FFFFFF"/>
          </w:tcPr>
          <w:p>
            <w:pPr>
              <w:spacing w:after="60"/>
            </w:pPr>
            <w:r>
              <w:rPr>
                <w:b/>
                <w:i w:val="0"/>
                <w:sz w:val="22"/>
              </w:rPr>
              <w:t>Coarse perlite</w:t>
            </w:r>
          </w:p>
        </w:tc>
        <w:tc>
          <w:tcPr>
            <w:tcW w:type="dxa" w:w="3389"/>
            <w:vAlign w:val="center"/>
            <w:shd w:fill="FFFFFF"/>
          </w:tcPr>
          <w:p>
            <w:pPr>
              <w:spacing w:after="60"/>
            </w:pPr>
            <w:r>
              <w:rPr>
                <w:b w:val="0"/>
                <w:i w:val="0"/>
                <w:sz w:val="22"/>
              </w:rPr>
              <w:t>1</w:t>
            </w:r>
          </w:p>
        </w:tc>
        <w:tc>
          <w:tcPr>
            <w:tcW w:type="dxa" w:w="3389"/>
            <w:vAlign w:val="center"/>
            <w:shd w:fill="FFFFFF"/>
          </w:tcPr>
          <w:p>
            <w:pPr>
              <w:spacing w:after="60"/>
            </w:pPr>
            <w:r>
              <w:rPr>
                <w:b w:val="0"/>
                <w:i w:val="0"/>
                <w:sz w:val="22"/>
              </w:rPr>
              <w:t>Aeration</w:t>
            </w:r>
          </w:p>
        </w:tc>
      </w:tr>
    </w:tbl>
    <w:p>
      <w:pPr>
        <w:spacing w:after="20"/>
      </w:pPr>
    </w:p>
    <w:p>
      <w:r>
        <w:rPr>
          <w:b/>
          <w:i w:val="0"/>
        </w:rPr>
        <w:t xml:space="preserve">Mix behavior: </w:t>
      </w:r>
      <w:r>
        <w:t>Loose, fertile, and well aerated, with moderate moisture retention.</w:t>
      </w:r>
    </w:p>
    <w:p>
      <w:r>
        <w:rPr>
          <w:b/>
          <w:i w:val="0"/>
        </w:rPr>
        <w:t xml:space="preserve">How to use: </w:t>
      </w:r>
      <w:r>
        <w:t>Water according to the plant rather than a fixed calendar. Apply enough water to wet the root ball and permit excess to drain. Rewater when the appropriate portion of the root zone has dried.</w:t>
      </w:r>
    </w:p>
    <w:p>
      <w:r>
        <w:rPr>
          <w:b/>
          <w:i w:val="0"/>
        </w:rPr>
        <w:t xml:space="preserve">Why it works: </w:t>
      </w:r>
      <w:r>
        <w:t>Most tropical houseplants need a balance: enough water-holding capacity to avoid rapid drought, but enough large pores to keep roots supplied with oxygen.</w:t>
      </w:r>
    </w:p>
    <w:p>
      <w:r>
        <w:rPr>
          <w:b/>
          <w:i w:val="0"/>
        </w:rPr>
        <w:t xml:space="preserve">Important caution: </w:t>
      </w:r>
      <w:r>
        <w:t>Never leave the pot standing continuously in drainage water. Persistent saturation eliminates the air spaces this mix is designed to provide.</w:t>
      </w:r>
    </w:p>
    <w:p>
      <w:pPr>
        <w:pStyle w:val="Heading2"/>
      </w:pPr>
      <w:r>
        <w:t>Herb &amp; Vegetable</w:t>
      </w:r>
    </w:p>
    <w:p>
      <w:r>
        <w:rPr>
          <w:b/>
          <w:i w:val="0"/>
        </w:rPr>
        <w:t xml:space="preserve">Purpose: </w:t>
      </w:r>
      <w:r>
        <w:t>Container-grown culinary herbs and vegetables that need greater fertility and a relatively dependable moisture supply.</w:t>
      </w:r>
    </w:p>
    <w:p>
      <w:r>
        <w:rPr>
          <w:b w:val="0"/>
          <w:i w:val="0"/>
        </w:rPr>
        <w:t>Standard formula: 2 parts generic potting soil + 1 part compost-rich raised-bed/in-ground soil ingredient + 1 part coarse perlite, by volume.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Ingredient</w:t>
            </w:r>
          </w:p>
        </w:tc>
        <w:tc>
          <w:tcPr>
            <w:tcW w:type="dxa" w:w="3389"/>
            <w:vAlign w:val="center"/>
            <w:shd w:fill="E9EDF0"/>
          </w:tcPr>
          <w:p>
            <w:pPr>
              <w:spacing w:after="60"/>
            </w:pPr>
            <w:r>
              <w:rPr>
                <w:b/>
                <w:i w:val="0"/>
                <w:sz w:val="22"/>
              </w:rPr>
              <w:t>Parts</w:t>
            </w:r>
          </w:p>
        </w:tc>
        <w:tc>
          <w:tcPr>
            <w:tcW w:type="dxa" w:w="3389"/>
            <w:vAlign w:val="center"/>
            <w:shd w:fill="E9EDF0"/>
          </w:tcPr>
          <w:p>
            <w:pPr>
              <w:spacing w:after="60"/>
            </w:pPr>
            <w:r>
              <w:rPr>
                <w:b/>
                <w:i w:val="0"/>
                <w:sz w:val="22"/>
              </w:rPr>
              <w:t>Function</w:t>
            </w:r>
          </w:p>
        </w:tc>
      </w:tr>
      <w:tr>
        <w:trPr>
          <w:cantSplit/>
        </w:trPr>
        <w:tc>
          <w:tcPr>
            <w:tcW w:type="dxa" w:w="3389"/>
            <w:vAlign w:val="center"/>
            <w:shd w:fill="FFFFFF"/>
          </w:tcPr>
          <w:p>
            <w:pPr>
              <w:spacing w:after="60"/>
            </w:pPr>
            <w:r>
              <w:rPr>
                <w:b/>
                <w:i w:val="0"/>
                <w:sz w:val="22"/>
              </w:rPr>
              <w:t>Generic potting soil</w:t>
            </w:r>
          </w:p>
        </w:tc>
        <w:tc>
          <w:tcPr>
            <w:tcW w:type="dxa" w:w="3389"/>
            <w:vAlign w:val="center"/>
            <w:shd w:fill="FFFFFF"/>
          </w:tcPr>
          <w:p>
            <w:pPr>
              <w:spacing w:after="60"/>
            </w:pPr>
            <w:r>
              <w:rPr>
                <w:b w:val="0"/>
                <w:i w:val="0"/>
                <w:sz w:val="22"/>
              </w:rPr>
              <w:t>2</w:t>
            </w:r>
          </w:p>
        </w:tc>
        <w:tc>
          <w:tcPr>
            <w:tcW w:type="dxa" w:w="3389"/>
            <w:vAlign w:val="center"/>
            <w:shd w:fill="FFFFFF"/>
          </w:tcPr>
          <w:p>
            <w:pPr>
              <w:spacing w:after="60"/>
            </w:pPr>
            <w:r>
              <w:rPr>
                <w:b w:val="0"/>
                <w:i w:val="0"/>
                <w:sz w:val="22"/>
              </w:rPr>
              <w:t>Base and moisture reserve</w:t>
            </w:r>
          </w:p>
        </w:tc>
      </w:tr>
      <w:tr>
        <w:trPr>
          <w:cantSplit/>
        </w:trPr>
        <w:tc>
          <w:tcPr>
            <w:tcW w:type="dxa" w:w="3389"/>
            <w:vAlign w:val="center"/>
            <w:shd w:fill="FFFFFF"/>
          </w:tcPr>
          <w:p>
            <w:pPr>
              <w:spacing w:after="60"/>
            </w:pPr>
            <w:r>
              <w:rPr>
                <w:b/>
                <w:i w:val="0"/>
                <w:sz w:val="22"/>
              </w:rPr>
              <w:t>Compost-rich raised-bed/in-ground soil ingredient</w:t>
            </w:r>
          </w:p>
        </w:tc>
        <w:tc>
          <w:tcPr>
            <w:tcW w:type="dxa" w:w="3389"/>
            <w:vAlign w:val="center"/>
            <w:shd w:fill="FFFFFF"/>
          </w:tcPr>
          <w:p>
            <w:pPr>
              <w:spacing w:after="60"/>
            </w:pPr>
            <w:r>
              <w:rPr>
                <w:b w:val="0"/>
                <w:i w:val="0"/>
                <w:sz w:val="22"/>
              </w:rPr>
              <w:t>1</w:t>
            </w:r>
          </w:p>
        </w:tc>
        <w:tc>
          <w:tcPr>
            <w:tcW w:type="dxa" w:w="3389"/>
            <w:vAlign w:val="center"/>
            <w:shd w:fill="FFFFFF"/>
          </w:tcPr>
          <w:p>
            <w:pPr>
              <w:spacing w:after="60"/>
            </w:pPr>
            <w:r>
              <w:rPr>
                <w:b w:val="0"/>
                <w:i w:val="0"/>
                <w:sz w:val="22"/>
              </w:rPr>
              <w:t>Organic matter and nutrient reserve</w:t>
            </w:r>
          </w:p>
        </w:tc>
      </w:tr>
      <w:tr>
        <w:trPr>
          <w:cantSplit/>
        </w:trPr>
        <w:tc>
          <w:tcPr>
            <w:tcW w:type="dxa" w:w="3389"/>
            <w:vAlign w:val="center"/>
            <w:shd w:fill="FFFFFF"/>
          </w:tcPr>
          <w:p>
            <w:pPr>
              <w:spacing w:after="60"/>
            </w:pPr>
            <w:r>
              <w:rPr>
                <w:b/>
                <w:i w:val="0"/>
                <w:sz w:val="22"/>
              </w:rPr>
              <w:t>Coarse perlite</w:t>
            </w:r>
          </w:p>
        </w:tc>
        <w:tc>
          <w:tcPr>
            <w:tcW w:type="dxa" w:w="3389"/>
            <w:vAlign w:val="center"/>
            <w:shd w:fill="FFFFFF"/>
          </w:tcPr>
          <w:p>
            <w:pPr>
              <w:spacing w:after="60"/>
            </w:pPr>
            <w:r>
              <w:rPr>
                <w:b w:val="0"/>
                <w:i w:val="0"/>
                <w:sz w:val="22"/>
              </w:rPr>
              <w:t>1</w:t>
            </w:r>
          </w:p>
        </w:tc>
        <w:tc>
          <w:tcPr>
            <w:tcW w:type="dxa" w:w="3389"/>
            <w:vAlign w:val="center"/>
            <w:shd w:fill="FFFFFF"/>
          </w:tcPr>
          <w:p>
            <w:pPr>
              <w:spacing w:after="60"/>
            </w:pPr>
            <w:r>
              <w:rPr>
                <w:b w:val="0"/>
                <w:i w:val="0"/>
                <w:sz w:val="22"/>
              </w:rPr>
              <w:t>Aeration</w:t>
            </w:r>
          </w:p>
        </w:tc>
      </w:tr>
    </w:tbl>
    <w:p>
      <w:pPr>
        <w:spacing w:after="20"/>
      </w:pPr>
    </w:p>
    <w:p>
      <w:r>
        <w:rPr>
          <w:b/>
          <w:i w:val="0"/>
        </w:rPr>
        <w:t xml:space="preserve">Mix behavior: </w:t>
      </w:r>
      <w:r>
        <w:t>The richest and relatively moisture-retentive Standard mix, while still providing drainage.</w:t>
      </w:r>
    </w:p>
    <w:p>
      <w:r>
        <w:rPr>
          <w:b/>
          <w:i w:val="0"/>
        </w:rPr>
        <w:t xml:space="preserve">How to use: </w:t>
      </w:r>
      <w:r>
        <w:t>Keep adequately moist during active growth, flowering, and fruiting. Check containers frequently in hot or windy weather because productive plants can use water rapidly.</w:t>
      </w:r>
    </w:p>
    <w:p>
      <w:r>
        <w:rPr>
          <w:b/>
          <w:i w:val="0"/>
        </w:rPr>
        <w:t xml:space="preserve">Why it works: </w:t>
      </w:r>
      <w:r>
        <w:t>Fast-growing herbs and vegetables generally demand more water and nutrients than cacti, succulents, or newly rooting cuttings.</w:t>
      </w:r>
    </w:p>
    <w:p>
      <w:r>
        <w:rPr>
          <w:b/>
          <w:i w:val="0"/>
        </w:rPr>
        <w:t xml:space="preserve">Important caution: </w:t>
      </w:r>
      <w:r>
        <w:t>Compost quality varies. If the finished mix becomes dense, sticky, or slow draining, increase the perlite fraction.</w:t>
      </w:r>
    </w:p>
    <w:p>
      <w:pPr>
        <w:pStyle w:val="Heading2"/>
      </w:pPr>
      <w:r>
        <w:t>Seed-Starting</w:t>
      </w:r>
    </w:p>
    <w:p>
      <w:r>
        <w:rPr>
          <w:b/>
          <w:i w:val="0"/>
        </w:rPr>
        <w:t xml:space="preserve">Purpose: </w:t>
      </w:r>
      <w:r>
        <w:t>Germinating seeds and supporting seedlings through their earliest growth.</w:t>
      </w:r>
    </w:p>
    <w:p>
      <w:r>
        <w:rPr>
          <w:b w:val="0"/>
          <w:i w:val="0"/>
        </w:rPr>
        <w:t>Standard formula: 2 parts coco coir + 1 part coarse perlite + 1 part vermiculite, by volume.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Ingredient</w:t>
            </w:r>
          </w:p>
        </w:tc>
        <w:tc>
          <w:tcPr>
            <w:tcW w:type="dxa" w:w="3389"/>
            <w:vAlign w:val="center"/>
            <w:shd w:fill="E9EDF0"/>
          </w:tcPr>
          <w:p>
            <w:pPr>
              <w:spacing w:after="60"/>
            </w:pPr>
            <w:r>
              <w:rPr>
                <w:b/>
                <w:i w:val="0"/>
                <w:sz w:val="22"/>
              </w:rPr>
              <w:t>Parts</w:t>
            </w:r>
          </w:p>
        </w:tc>
        <w:tc>
          <w:tcPr>
            <w:tcW w:type="dxa" w:w="3389"/>
            <w:vAlign w:val="center"/>
            <w:shd w:fill="E9EDF0"/>
          </w:tcPr>
          <w:p>
            <w:pPr>
              <w:spacing w:after="60"/>
            </w:pPr>
            <w:r>
              <w:rPr>
                <w:b/>
                <w:i w:val="0"/>
                <w:sz w:val="22"/>
              </w:rPr>
              <w:t>Function</w:t>
            </w:r>
          </w:p>
        </w:tc>
      </w:tr>
      <w:tr>
        <w:trPr>
          <w:cantSplit/>
        </w:trPr>
        <w:tc>
          <w:tcPr>
            <w:tcW w:type="dxa" w:w="3389"/>
            <w:vAlign w:val="center"/>
            <w:shd w:fill="FFFFFF"/>
          </w:tcPr>
          <w:p>
            <w:pPr>
              <w:spacing w:after="60"/>
            </w:pPr>
            <w:r>
              <w:rPr>
                <w:b/>
                <w:i w:val="0"/>
                <w:sz w:val="22"/>
              </w:rPr>
              <w:t>Coco coir</w:t>
            </w:r>
          </w:p>
        </w:tc>
        <w:tc>
          <w:tcPr>
            <w:tcW w:type="dxa" w:w="3389"/>
            <w:vAlign w:val="center"/>
            <w:shd w:fill="FFFFFF"/>
          </w:tcPr>
          <w:p>
            <w:pPr>
              <w:spacing w:after="60"/>
            </w:pPr>
            <w:r>
              <w:rPr>
                <w:b w:val="0"/>
                <w:i w:val="0"/>
                <w:sz w:val="22"/>
              </w:rPr>
              <w:t>2</w:t>
            </w:r>
          </w:p>
        </w:tc>
        <w:tc>
          <w:tcPr>
            <w:tcW w:type="dxa" w:w="3389"/>
            <w:vAlign w:val="center"/>
            <w:shd w:fill="FFFFFF"/>
          </w:tcPr>
          <w:p>
            <w:pPr>
              <w:spacing w:after="60"/>
            </w:pPr>
            <w:r>
              <w:rPr>
                <w:b w:val="0"/>
                <w:i w:val="0"/>
                <w:sz w:val="22"/>
              </w:rPr>
              <w:t>Fine moisture-retentive base</w:t>
            </w:r>
          </w:p>
        </w:tc>
      </w:tr>
      <w:tr>
        <w:trPr>
          <w:cantSplit/>
        </w:trPr>
        <w:tc>
          <w:tcPr>
            <w:tcW w:type="dxa" w:w="3389"/>
            <w:vAlign w:val="center"/>
            <w:shd w:fill="FFFFFF"/>
          </w:tcPr>
          <w:p>
            <w:pPr>
              <w:spacing w:after="60"/>
            </w:pPr>
            <w:r>
              <w:rPr>
                <w:b/>
                <w:i w:val="0"/>
                <w:sz w:val="22"/>
              </w:rPr>
              <w:t>Coarse perlite</w:t>
            </w:r>
          </w:p>
        </w:tc>
        <w:tc>
          <w:tcPr>
            <w:tcW w:type="dxa" w:w="3389"/>
            <w:vAlign w:val="center"/>
            <w:shd w:fill="FFFFFF"/>
          </w:tcPr>
          <w:p>
            <w:pPr>
              <w:spacing w:after="60"/>
            </w:pPr>
            <w:r>
              <w:rPr>
                <w:b w:val="0"/>
                <w:i w:val="0"/>
                <w:sz w:val="22"/>
              </w:rPr>
              <w:t>1</w:t>
            </w:r>
          </w:p>
        </w:tc>
        <w:tc>
          <w:tcPr>
            <w:tcW w:type="dxa" w:w="3389"/>
            <w:vAlign w:val="center"/>
            <w:shd w:fill="FFFFFF"/>
          </w:tcPr>
          <w:p>
            <w:pPr>
              <w:spacing w:after="60"/>
            </w:pPr>
            <w:r>
              <w:rPr>
                <w:b w:val="0"/>
                <w:i w:val="0"/>
                <w:sz w:val="22"/>
              </w:rPr>
              <w:t>Aeration</w:t>
            </w:r>
          </w:p>
        </w:tc>
      </w:tr>
      <w:tr>
        <w:trPr>
          <w:cantSplit/>
        </w:trPr>
        <w:tc>
          <w:tcPr>
            <w:tcW w:type="dxa" w:w="3389"/>
            <w:vAlign w:val="center"/>
            <w:shd w:fill="FFFFFF"/>
          </w:tcPr>
          <w:p>
            <w:pPr>
              <w:spacing w:after="60"/>
            </w:pPr>
            <w:r>
              <w:rPr>
                <w:b/>
                <w:i w:val="0"/>
                <w:sz w:val="22"/>
              </w:rPr>
              <w:t>Vermiculite</w:t>
            </w:r>
          </w:p>
        </w:tc>
        <w:tc>
          <w:tcPr>
            <w:tcW w:type="dxa" w:w="3389"/>
            <w:vAlign w:val="center"/>
            <w:shd w:fill="FFFFFF"/>
          </w:tcPr>
          <w:p>
            <w:pPr>
              <w:spacing w:after="60"/>
            </w:pPr>
            <w:r>
              <w:rPr>
                <w:b w:val="0"/>
                <w:i w:val="0"/>
                <w:sz w:val="22"/>
              </w:rPr>
              <w:t>1</w:t>
            </w:r>
          </w:p>
        </w:tc>
        <w:tc>
          <w:tcPr>
            <w:tcW w:type="dxa" w:w="3389"/>
            <w:vAlign w:val="center"/>
            <w:shd w:fill="FFFFFF"/>
          </w:tcPr>
          <w:p>
            <w:pPr>
              <w:spacing w:after="60"/>
            </w:pPr>
            <w:r>
              <w:rPr>
                <w:b w:val="0"/>
                <w:i w:val="0"/>
                <w:sz w:val="22"/>
              </w:rPr>
              <w:t>Moisture retention</w:t>
            </w:r>
          </w:p>
        </w:tc>
      </w:tr>
    </w:tbl>
    <w:p>
      <w:pPr>
        <w:spacing w:after="20"/>
      </w:pPr>
    </w:p>
    <w:p>
      <w:r>
        <w:rPr>
          <w:b/>
          <w:i w:val="0"/>
        </w:rPr>
        <w:t xml:space="preserve">Mix behavior: </w:t>
      </w:r>
      <w:r>
        <w:t>Fine, light, and moisture-retentive without being dense when properly prepared.</w:t>
      </w:r>
    </w:p>
    <w:p>
      <w:r>
        <w:rPr>
          <w:b/>
          <w:i w:val="0"/>
        </w:rPr>
        <w:t xml:space="preserve">How to use: </w:t>
      </w:r>
      <w:r>
        <w:t>Pre-moisten before sowing. Keep evenly moist during germination, using gentle watering so seeds are not displaced. After seedlings are established, begin appropriate dilute feeding if the base medium contains little fertilizer.</w:t>
      </w:r>
    </w:p>
    <w:p>
      <w:r>
        <w:rPr>
          <w:b/>
          <w:i w:val="0"/>
        </w:rPr>
        <w:t xml:space="preserve">Why it works: </w:t>
      </w:r>
      <w:r>
        <w:t>Seeds have tiny water reserves and emerging roots are delicate. A uniform, fine medium maintains close seed-to-medium contact while perlite preserves oxygen.</w:t>
      </w:r>
    </w:p>
    <w:p>
      <w:r>
        <w:rPr>
          <w:b/>
          <w:i w:val="0"/>
        </w:rPr>
        <w:t xml:space="preserve">Important caution: </w:t>
      </w:r>
      <w:r>
        <w:t>Do not keep the medium saturated. Constantly wet, poorly aerated conditions favor damping-off and weak root development.</w:t>
      </w:r>
    </w:p>
    <w:p>
      <w:pPr>
        <w:pStyle w:val="Heading2"/>
      </w:pPr>
      <w:r>
        <w:t>Tropical Houseplant Cuttings</w:t>
      </w:r>
    </w:p>
    <w:p>
      <w:r>
        <w:rPr>
          <w:b/>
          <w:i w:val="0"/>
        </w:rPr>
        <w:t xml:space="preserve">Purpose: </w:t>
      </w:r>
      <w:r>
        <w:t>Rooting unrooted stem, tip, and node cuttings of pothos, philodendron, tradescantia, peperomia, coleus, tropical ivy, and similar tropical houseplants.</w:t>
      </w:r>
    </w:p>
    <w:p>
      <w:r>
        <w:rPr>
          <w:b w:val="0"/>
          <w:i w:val="0"/>
        </w:rPr>
        <w:t>Standard formula: 1 part generic potting soil + 1 part coarse perlite, by volume.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Ingredient</w:t>
            </w:r>
          </w:p>
        </w:tc>
        <w:tc>
          <w:tcPr>
            <w:tcW w:type="dxa" w:w="3389"/>
            <w:vAlign w:val="center"/>
            <w:shd w:fill="E9EDF0"/>
          </w:tcPr>
          <w:p>
            <w:pPr>
              <w:spacing w:after="60"/>
            </w:pPr>
            <w:r>
              <w:rPr>
                <w:b/>
                <w:i w:val="0"/>
                <w:sz w:val="22"/>
              </w:rPr>
              <w:t>Parts</w:t>
            </w:r>
          </w:p>
        </w:tc>
        <w:tc>
          <w:tcPr>
            <w:tcW w:type="dxa" w:w="3389"/>
            <w:vAlign w:val="center"/>
            <w:shd w:fill="E9EDF0"/>
          </w:tcPr>
          <w:p>
            <w:pPr>
              <w:spacing w:after="60"/>
            </w:pPr>
            <w:r>
              <w:rPr>
                <w:b/>
                <w:i w:val="0"/>
                <w:sz w:val="22"/>
              </w:rPr>
              <w:t>Function</w:t>
            </w:r>
          </w:p>
        </w:tc>
      </w:tr>
      <w:tr>
        <w:trPr>
          <w:cantSplit/>
        </w:trPr>
        <w:tc>
          <w:tcPr>
            <w:tcW w:type="dxa" w:w="3389"/>
            <w:vAlign w:val="center"/>
            <w:shd w:fill="FFFFFF"/>
          </w:tcPr>
          <w:p>
            <w:pPr>
              <w:spacing w:after="60"/>
            </w:pPr>
            <w:r>
              <w:rPr>
                <w:b/>
                <w:i w:val="0"/>
                <w:sz w:val="22"/>
              </w:rPr>
              <w:t>Generic potting soil</w:t>
            </w:r>
          </w:p>
        </w:tc>
        <w:tc>
          <w:tcPr>
            <w:tcW w:type="dxa" w:w="3389"/>
            <w:vAlign w:val="center"/>
            <w:shd w:fill="FFFFFF"/>
          </w:tcPr>
          <w:p>
            <w:pPr>
              <w:spacing w:after="60"/>
            </w:pPr>
            <w:r>
              <w:rPr>
                <w:b w:val="0"/>
                <w:i w:val="0"/>
                <w:sz w:val="22"/>
              </w:rPr>
              <w:t>1</w:t>
            </w:r>
          </w:p>
        </w:tc>
        <w:tc>
          <w:tcPr>
            <w:tcW w:type="dxa" w:w="3389"/>
            <w:vAlign w:val="center"/>
            <w:shd w:fill="FFFFFF"/>
          </w:tcPr>
          <w:p>
            <w:pPr>
              <w:spacing w:after="60"/>
            </w:pPr>
            <w:r>
              <w:rPr>
                <w:b w:val="0"/>
                <w:i w:val="0"/>
                <w:sz w:val="22"/>
              </w:rPr>
              <w:t>Base and moisture reserve</w:t>
            </w:r>
          </w:p>
        </w:tc>
      </w:tr>
      <w:tr>
        <w:trPr>
          <w:cantSplit/>
        </w:trPr>
        <w:tc>
          <w:tcPr>
            <w:tcW w:type="dxa" w:w="3389"/>
            <w:vAlign w:val="center"/>
            <w:shd w:fill="FFFFFF"/>
          </w:tcPr>
          <w:p>
            <w:pPr>
              <w:spacing w:after="60"/>
            </w:pPr>
            <w:r>
              <w:rPr>
                <w:b/>
                <w:i w:val="0"/>
                <w:sz w:val="22"/>
              </w:rPr>
              <w:t>Coarse perlite</w:t>
            </w:r>
          </w:p>
        </w:tc>
        <w:tc>
          <w:tcPr>
            <w:tcW w:type="dxa" w:w="3389"/>
            <w:vAlign w:val="center"/>
            <w:shd w:fill="FFFFFF"/>
          </w:tcPr>
          <w:p>
            <w:pPr>
              <w:spacing w:after="60"/>
            </w:pPr>
            <w:r>
              <w:rPr>
                <w:b w:val="0"/>
                <w:i w:val="0"/>
                <w:sz w:val="22"/>
              </w:rPr>
              <w:t>1</w:t>
            </w:r>
          </w:p>
        </w:tc>
        <w:tc>
          <w:tcPr>
            <w:tcW w:type="dxa" w:w="3389"/>
            <w:vAlign w:val="center"/>
            <w:shd w:fill="FFFFFF"/>
          </w:tcPr>
          <w:p>
            <w:pPr>
              <w:spacing w:after="60"/>
            </w:pPr>
            <w:r>
              <w:rPr>
                <w:b w:val="0"/>
                <w:i w:val="0"/>
                <w:sz w:val="22"/>
              </w:rPr>
              <w:t>Aeration</w:t>
            </w:r>
          </w:p>
        </w:tc>
      </w:tr>
    </w:tbl>
    <w:p>
      <w:pPr>
        <w:spacing w:after="20"/>
      </w:pPr>
    </w:p>
    <w:p>
      <w:r>
        <w:rPr>
          <w:b w:val="0"/>
          <w:i w:val="0"/>
        </w:rPr>
        <w:t>Mix behavior: The ratio matches the stocked foliage mix. Unrooted cuttings require closer moisture control and no routine added fertilizer.</w:t>
      </w:r>
    </w:p>
    <w:p>
      <w:r>
        <w:rPr>
          <w:b/>
          <w:i w:val="0"/>
        </w:rPr>
        <w:t xml:space="preserve">How to use: </w:t>
      </w:r>
      <w:r>
        <w:t>Pre-moisten until slightly damp, not wet. Insert the cutting and firm only enough to hold it upright. Maintain even moisture while roots form. Once a healthy root system develops, transplant into the regular Tropical Houseplant Mix.</w:t>
      </w:r>
    </w:p>
    <w:p>
      <w:r>
        <w:rPr>
          <w:b/>
          <w:i w:val="0"/>
        </w:rPr>
        <w:t xml:space="preserve">Why it works: </w:t>
      </w:r>
      <w:r>
        <w:t>A cutting has no functioning root system initially. It needs oxygen and consistent moisture more than fertility. Excessively rich or saturated media can encourage stem rot before roots develop.</w:t>
      </w:r>
    </w:p>
    <w:p>
      <w:r>
        <w:rPr>
          <w:b/>
          <w:i w:val="0"/>
        </w:rPr>
        <w:t xml:space="preserve">Important caution: </w:t>
      </w:r>
      <w:r>
        <w:t>Do not fertilize until definite new root or shoot growth occurs.</w:t>
      </w:r>
    </w:p>
    <w:p>
      <w:pPr>
        <w:pStyle w:val="Heading2"/>
      </w:pPr>
      <w:r>
        <w:t>Quick Adjustment Rule</w:t>
      </w:r>
    </w:p>
    <w:p>
      <w:r>
        <w:rPr>
          <w:b w:val="0"/>
          <w:i w:val="0"/>
        </w:rPr>
        <w:t>Structure check: moisten a sample and inspect drainage and drying in the intended container. A dense, sticky, compressed medium needs adjustment; only the six stocked ingredients are assumed in these Standard recipes.</w:t>
      </w:r>
    </w:p>
    <w:p>
      <w:r>
        <w:rPr>
          <w:b/>
          <w:i w:val="0"/>
        </w:rPr>
        <w:t xml:space="preserve">Always: </w:t>
      </w:r>
      <w:r>
        <w:t>Use container potting mix rather than garden soil, measure recipes by volume, and use pots with unobstructed drainage holes.</w:t>
      </w:r>
    </w:p>
    <w:p>
      <w:pPr>
        <w:pStyle w:val="Heading2"/>
      </w:pPr>
      <w:r>
        <w:t>Choosing the Mix</w:t>
      </w:r>
    </w:p>
    <w:p>
      <w:pPr>
        <w:pStyle w:val="ListBullet"/>
      </w:pPr>
      <w:r>
        <w:rPr>
          <w:b w:val="0"/>
          <w:i w:val="0"/>
        </w:rPr>
        <w:t>Desert cactus → maximum drainage and minimum water retention.</w:t>
      </w:r>
    </w:p>
    <w:p>
      <w:pPr>
        <w:pStyle w:val="ListBullet"/>
      </w:pPr>
      <w:r>
        <w:rPr>
          <w:b w:val="0"/>
          <w:i w:val="0"/>
        </w:rPr>
        <w:t>Succulent → rapid drainage with slightly greater moisture retention.</w:t>
      </w:r>
    </w:p>
    <w:p>
      <w:pPr>
        <w:pStyle w:val="ListBullet"/>
      </w:pPr>
      <w:r>
        <w:rPr>
          <w:b w:val="0"/>
          <w:i w:val="0"/>
        </w:rPr>
        <w:t>Tropical cactus / epiphyte → airy and chunky, but more moisture-retentive.</w:t>
      </w:r>
    </w:p>
    <w:p>
      <w:pPr>
        <w:pStyle w:val="ListBullet"/>
      </w:pPr>
      <w:r>
        <w:rPr>
          <w:b w:val="0"/>
          <w:i w:val="0"/>
        </w:rPr>
        <w:t>Tropical houseplant → balanced moisture, fertility, drainage, and aeration.</w:t>
      </w:r>
    </w:p>
    <w:p>
      <w:pPr>
        <w:pStyle w:val="ListBullet"/>
      </w:pPr>
      <w:r>
        <w:rPr>
          <w:b w:val="0"/>
          <w:i w:val="0"/>
        </w:rPr>
        <w:t>Herb / vegetable → greater fertility and moisture retention for rapid growth.</w:t>
      </w:r>
    </w:p>
    <w:p>
      <w:pPr>
        <w:pStyle w:val="ListBullet"/>
      </w:pPr>
      <w:r>
        <w:rPr>
          <w:b w:val="0"/>
          <w:i w:val="0"/>
        </w:rPr>
        <w:t>Seed-starting → fine and evenly moist for germination.</w:t>
      </w:r>
    </w:p>
    <w:p>
      <w:pPr>
        <w:pStyle w:val="ListBullet"/>
      </w:pPr>
      <w:r>
        <w:rPr>
          <w:b w:val="0"/>
          <w:i w:val="0"/>
        </w:rPr>
        <w:t>Tropical houseplant cuttings → high aeration and controlled moisture while roots form.</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plant-potting-mixes/"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plant potting mixes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