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Plant Disease Diagnosis</w:t>
      </w:r>
    </w:p>
    <w:p>
      <w:pPr>
        <w:spacing w:after="320"/>
      </w:pPr>
      <w:r>
        <w:t>Combined Information Sheets</w:t>
      </w:r>
    </w:p>
    <w:p>
      <w:pPr>
        <w:pStyle w:val="Heading1"/>
      </w:pPr>
      <w:r>
        <w:t>Plant Disease Diagnosis</w:t>
      </w:r>
    </w:p>
    <w:p>
      <w:r>
        <w:rPr>
          <w:b/>
        </w:rPr>
        <w:t xml:space="preserve">Online Information Sheet: </w:t>
      </w:r>
      <w:hyperlink r:id="rId11">
        <w:r>
          <w:rPr>
            <w:color w:val="245B43"/>
            <w:u w:val="single"/>
          </w:rPr>
          <w:t>planteducationproject.com/guides/plant-disease-diagnosis/</w:t>
        </w:r>
      </w:hyperlink>
    </w:p>
    <w:p>
      <w:r>
        <w:rPr>
          <w:b w:val="0"/>
          <w:i w:val="0"/>
        </w:rPr>
        <w:t>🌿 Information Sheet</w:t>
      </w:r>
    </w:p>
    <w:p>
      <w:r>
        <w:rPr>
          <w:b w:val="0"/>
          <w:i w:val="0"/>
        </w:rPr>
        <w:t>Diagnose the cause before selecting a treatment. Similar spots, yellowing, wilting, and root loss can result from pathogens, insects, water stress, salts, temperature injury, or several interacting causes. A photograph is evidence, but it may not establish a diagnosis.</w:t>
      </w:r>
    </w:p>
    <w:p>
      <w:pPr>
        <w:pStyle w:val="Heading2"/>
      </w:pPr>
      <w:r>
        <w:t>Start with the host and its history</w:t>
      </w:r>
    </w:p>
    <w:p>
      <w:r>
        <w:rPr>
          <w:b w:val="0"/>
          <w:i w:val="0"/>
        </w:rPr>
        <w:t>Identify the plant as precisely as possible. Record when symptoms began, which tissues changed first, recent weather or relocation, irrigation, fertilizer, pesticide use, and repotting. Note whether one plant or several species are affected.</w:t>
      </w:r>
    </w:p>
    <w:p>
      <w:r>
        <w:rPr>
          <w:b w:val="0"/>
          <w:i w:val="0"/>
        </w:rPr>
        <w:t>Photograph the whole plant, its setting, the transition between healthy and damaged tissue, and a close view with a size reference. Examine roots when appropriate; a wilting plant in wet medium may have root injury rather than a water shortage.</w:t>
      </w:r>
    </w:p>
    <w:p>
      <w:pPr>
        <w:pStyle w:val="Heading2"/>
      </w:pPr>
      <w:r>
        <w:t>Distinguish symptoms from signs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Observation</w:t>
            </w:r>
          </w:p>
        </w:tc>
        <w:tc>
          <w:tcPr>
            <w:tcW w:type="dxa" w:w="3389"/>
            <w:vAlign w:val="center"/>
            <w:shd w:fill="E9EDF0"/>
          </w:tcPr>
          <w:p>
            <w:pPr>
              <w:spacing w:after="60"/>
            </w:pPr>
            <w:r>
              <w:rPr>
                <w:b/>
                <w:i w:val="0"/>
                <w:sz w:val="22"/>
              </w:rPr>
              <w:t>Interpretation</w:t>
            </w:r>
          </w:p>
        </w:tc>
        <w:tc>
          <w:tcPr>
            <w:tcW w:type="dxa" w:w="3389"/>
            <w:vAlign w:val="center"/>
            <w:shd w:fill="E9EDF0"/>
          </w:tcPr>
          <w:p>
            <w:pPr>
              <w:spacing w:after="60"/>
            </w:pPr>
            <w:r>
              <w:rPr>
                <w:b/>
                <w:i w:val="0"/>
                <w:sz w:val="22"/>
              </w:rPr>
              <w:t>Next check</w:t>
            </w:r>
          </w:p>
        </w:tc>
      </w:tr>
      <w:tr>
        <w:trPr>
          <w:cantSplit/>
        </w:trPr>
        <w:tc>
          <w:tcPr>
            <w:tcW w:type="dxa" w:w="3389"/>
            <w:vAlign w:val="center"/>
            <w:shd w:fill="FFFFFF"/>
          </w:tcPr>
          <w:p>
            <w:pPr>
              <w:spacing w:after="60"/>
            </w:pPr>
            <w:r>
              <w:rPr>
                <w:b/>
                <w:i w:val="0"/>
                <w:sz w:val="22"/>
              </w:rPr>
              <w:t>Yellowing or wilt</w:t>
            </w:r>
          </w:p>
        </w:tc>
        <w:tc>
          <w:tcPr>
            <w:tcW w:type="dxa" w:w="3389"/>
            <w:vAlign w:val="center"/>
            <w:shd w:fill="FFFFFF"/>
          </w:tcPr>
          <w:p>
            <w:pPr>
              <w:spacing w:after="60"/>
            </w:pPr>
            <w:r>
              <w:rPr>
                <w:b w:val="0"/>
                <w:i w:val="0"/>
                <w:sz w:val="22"/>
              </w:rPr>
              <w:t>A symptom: the plant’s response to stress.</w:t>
            </w:r>
          </w:p>
        </w:tc>
        <w:tc>
          <w:tcPr>
            <w:tcW w:type="dxa" w:w="3389"/>
            <w:vAlign w:val="center"/>
            <w:shd w:fill="FFFFFF"/>
          </w:tcPr>
          <w:p>
            <w:pPr>
              <w:spacing w:after="60"/>
            </w:pPr>
            <w:r>
              <w:rPr>
                <w:b w:val="0"/>
                <w:i w:val="0"/>
                <w:sz w:val="22"/>
              </w:rPr>
              <w:t>Root moisture, oxygen, pests, and distribution of affected leaves.</w:t>
            </w:r>
          </w:p>
        </w:tc>
      </w:tr>
      <w:tr>
        <w:trPr>
          <w:cantSplit/>
        </w:trPr>
        <w:tc>
          <w:tcPr>
            <w:tcW w:type="dxa" w:w="3389"/>
            <w:vAlign w:val="center"/>
            <w:shd w:fill="FFFFFF"/>
          </w:tcPr>
          <w:p>
            <w:pPr>
              <w:spacing w:after="60"/>
            </w:pPr>
            <w:r>
              <w:rPr>
                <w:b/>
                <w:i w:val="0"/>
                <w:sz w:val="22"/>
              </w:rPr>
              <w:t>Fungal structures or bacterial ooze</w:t>
            </w:r>
          </w:p>
        </w:tc>
        <w:tc>
          <w:tcPr>
            <w:tcW w:type="dxa" w:w="3389"/>
            <w:vAlign w:val="center"/>
            <w:shd w:fill="FFFFFF"/>
          </w:tcPr>
          <w:p>
            <w:pPr>
              <w:spacing w:after="60"/>
            </w:pPr>
            <w:r>
              <w:rPr>
                <w:b w:val="0"/>
                <w:i w:val="0"/>
                <w:sz w:val="22"/>
              </w:rPr>
              <w:t>A possible sign of the causal organism.</w:t>
            </w:r>
          </w:p>
        </w:tc>
        <w:tc>
          <w:tcPr>
            <w:tcW w:type="dxa" w:w="3389"/>
            <w:vAlign w:val="center"/>
            <w:shd w:fill="FFFFFF"/>
          </w:tcPr>
          <w:p>
            <w:pPr>
              <w:spacing w:after="60"/>
            </w:pPr>
            <w:r>
              <w:rPr>
                <w:b w:val="0"/>
                <w:i w:val="0"/>
                <w:sz w:val="22"/>
              </w:rPr>
              <w:t>Confirm identity; harmless colonizers can grow on tissue already dead.</w:t>
            </w:r>
          </w:p>
        </w:tc>
      </w:tr>
      <w:tr>
        <w:trPr>
          <w:cantSplit/>
        </w:trPr>
        <w:tc>
          <w:tcPr>
            <w:tcW w:type="dxa" w:w="3389"/>
            <w:vAlign w:val="center"/>
            <w:shd w:fill="FFFFFF"/>
          </w:tcPr>
          <w:p>
            <w:pPr>
              <w:spacing w:after="60"/>
            </w:pPr>
            <w:r>
              <w:rPr>
                <w:b/>
                <w:i w:val="0"/>
                <w:sz w:val="22"/>
              </w:rPr>
              <w:t>Uniform scorch after spraying</w:t>
            </w:r>
          </w:p>
        </w:tc>
        <w:tc>
          <w:tcPr>
            <w:tcW w:type="dxa" w:w="3389"/>
            <w:vAlign w:val="center"/>
            <w:shd w:fill="FFFFFF"/>
          </w:tcPr>
          <w:p>
            <w:pPr>
              <w:spacing w:after="60"/>
            </w:pPr>
            <w:r>
              <w:rPr>
                <w:b w:val="0"/>
                <w:i w:val="0"/>
                <w:sz w:val="22"/>
              </w:rPr>
              <w:t>Timing and pattern suggest chemical or environmental injury.</w:t>
            </w:r>
          </w:p>
        </w:tc>
        <w:tc>
          <w:tcPr>
            <w:tcW w:type="dxa" w:w="3389"/>
            <w:vAlign w:val="center"/>
            <w:shd w:fill="FFFFFF"/>
          </w:tcPr>
          <w:p>
            <w:pPr>
              <w:spacing w:after="60"/>
            </w:pPr>
            <w:r>
              <w:rPr>
                <w:b w:val="0"/>
                <w:i w:val="0"/>
                <w:sz w:val="22"/>
              </w:rPr>
              <w:t>Application record, dose, weather, and exposure pattern.</w:t>
            </w:r>
          </w:p>
        </w:tc>
      </w:tr>
      <w:tr>
        <w:trPr>
          <w:cantSplit/>
        </w:trPr>
        <w:tc>
          <w:tcPr>
            <w:tcW w:type="dxa" w:w="3389"/>
            <w:vAlign w:val="center"/>
            <w:shd w:fill="FFFFFF"/>
          </w:tcPr>
          <w:p>
            <w:pPr>
              <w:spacing w:after="60"/>
            </w:pPr>
            <w:r>
              <w:rPr>
                <w:b/>
                <w:i w:val="0"/>
                <w:sz w:val="22"/>
              </w:rPr>
              <w:t>Expanding patches among susceptible plants</w:t>
            </w:r>
          </w:p>
        </w:tc>
        <w:tc>
          <w:tcPr>
            <w:tcW w:type="dxa" w:w="3389"/>
            <w:vAlign w:val="center"/>
            <w:shd w:fill="FFFFFF"/>
          </w:tcPr>
          <w:p>
            <w:pPr>
              <w:spacing w:after="60"/>
            </w:pPr>
            <w:r>
              <w:rPr>
                <w:b w:val="0"/>
                <w:i w:val="0"/>
                <w:sz w:val="22"/>
              </w:rPr>
              <w:t>An infectious or spreading agent is plausible.</w:t>
            </w:r>
          </w:p>
        </w:tc>
        <w:tc>
          <w:tcPr>
            <w:tcW w:type="dxa" w:w="3389"/>
            <w:vAlign w:val="center"/>
            <w:shd w:fill="FFFFFF"/>
          </w:tcPr>
          <w:p>
            <w:pPr>
              <w:spacing w:after="60"/>
            </w:pPr>
            <w:r>
              <w:rPr>
                <w:b w:val="0"/>
                <w:i w:val="0"/>
                <w:sz w:val="22"/>
              </w:rPr>
              <w:t>Host range, contact, vectors, and laboratory confirmation.</w:t>
            </w:r>
          </w:p>
        </w:tc>
      </w:tr>
      <w:tr>
        <w:trPr>
          <w:cantSplit/>
        </w:trPr>
        <w:tc>
          <w:tcPr>
            <w:tcW w:type="dxa" w:w="3389"/>
            <w:vAlign w:val="center"/>
            <w:shd w:fill="FFFFFF"/>
          </w:tcPr>
          <w:p>
            <w:pPr>
              <w:spacing w:after="60"/>
            </w:pPr>
            <w:r>
              <w:rPr>
                <w:b/>
                <w:i w:val="0"/>
                <w:sz w:val="22"/>
              </w:rPr>
              <w:t>One-sided injury</w:t>
            </w:r>
          </w:p>
        </w:tc>
        <w:tc>
          <w:tcPr>
            <w:tcW w:type="dxa" w:w="3389"/>
            <w:vAlign w:val="center"/>
            <w:shd w:fill="FFFFFF"/>
          </w:tcPr>
          <w:p>
            <w:pPr>
              <w:spacing w:after="60"/>
            </w:pPr>
            <w:r>
              <w:rPr>
                <w:b w:val="0"/>
                <w:i w:val="0"/>
                <w:sz w:val="22"/>
              </w:rPr>
              <w:t>Exposure or a localized root/stem problem may be involved.</w:t>
            </w:r>
          </w:p>
        </w:tc>
        <w:tc>
          <w:tcPr>
            <w:tcW w:type="dxa" w:w="3389"/>
            <w:vAlign w:val="center"/>
            <w:shd w:fill="FFFFFF"/>
          </w:tcPr>
          <w:p>
            <w:pPr>
              <w:spacing w:after="60"/>
            </w:pPr>
            <w:r>
              <w:rPr>
                <w:b w:val="0"/>
                <w:i w:val="0"/>
                <w:sz w:val="22"/>
              </w:rPr>
              <w:t>Sun, wind, heat, mechanical damage, and vascular tissue.</w:t>
            </w:r>
          </w:p>
        </w:tc>
      </w:tr>
    </w:tbl>
    <w:p>
      <w:pPr>
        <w:spacing w:after="20"/>
      </w:pPr>
    </w:p>
    <w:p>
      <w:pPr>
        <w:pStyle w:val="Heading2"/>
      </w:pPr>
      <w:r>
        <w:t>A disease needs a susceptible host a pathogen and suitable conditions</w:t>
      </w:r>
    </w:p>
    <w:p>
      <w:r>
        <w:rPr>
          <w:b w:val="0"/>
          <w:i w:val="0"/>
        </w:rPr>
        <w:t>The disease triangle links host, pathogen, and environment. Changing leaf wetness, drainage, spacing, or sanitation can reduce disease even when the organism remains present. Conversely, a resistant cultivar may remain healthy under conditions that injure a susceptible one.</w:t>
      </w:r>
    </w:p>
    <w:p>
      <w:r>
        <w:rPr>
          <w:b w:val="0"/>
          <w:i w:val="0"/>
        </w:rPr>
        <w:t>Do not infer a nutrient deficiency solely from leaf color. Soil or tissue analysis can test a nutritional hypothesis. Viruses, herbicide injury, and physiological disorders may produce similar distortions; antibiotics and fungicides do not solve every infectious-looking symptom.</w:t>
      </w:r>
    </w:p>
    <w:p>
      <w:pPr>
        <w:pStyle w:val="Heading2"/>
      </w:pPr>
      <w:r>
        <w:t>Contain the problem while preserving useful evidence</w:t>
      </w:r>
    </w:p>
    <w:p>
      <w:r>
        <w:rPr>
          <w:b w:val="0"/>
          <w:i w:val="0"/>
        </w:rPr>
        <w:t>Separate affected indoor plants when spread is plausible. Stop moving cuttings or soil from them. Clean tools between plants and avoid splashing from diseased tissue. Correct an obvious drainage or watering problem, but avoid several simultaneous experimental treatments.</w:t>
      </w:r>
    </w:p>
    <w:p>
      <w:r>
        <w:rPr>
          <w:b w:val="0"/>
          <w:i w:val="0"/>
        </w:rPr>
        <w:t>For a diagnostic laboratory, obtain its submission instructions first. Send fresh, representative material that includes the active margin and relevant roots or stems. Keep soil from contaminating foliage in transit. A bag of completely decomposed tissue often cannot reveal the original cause.</w:t>
      </w:r>
    </w:p>
    <w:p>
      <w:pPr>
        <w:pStyle w:val="Heading2"/>
      </w:pPr>
      <w:r>
        <w:t>Treat the confirmed cause and check the result</w:t>
      </w:r>
    </w:p>
    <w:p>
      <w:r>
        <w:rPr>
          <w:b w:val="0"/>
          <w:i w:val="0"/>
        </w:rPr>
        <w:t>Use cultural or physical correction where it addresses the cause. If a pesticide is needed, the label must allow the target plant, pest, and site. Record the treatment and date. Existing dead tissue will not turn green again; judge progress by new growth and whether new symptoms stop.</w:t>
      </w:r>
    </w:p>
    <w:p>
      <w:r>
        <w:rPr>
          <w:b w:val="0"/>
          <w:i w:val="0"/>
        </w:rPr>
        <w:t>For suspected regulated pests or an unusual fast-moving outbreak, contact Purdue’s Plant and Pest Diagnostic Laboratory or the relevant plant-health authority before transporting material. Do not release an unidentified problem into a garden or compost pile.</w:t>
      </w:r>
    </w:p>
    <w:p>
      <w:pPr>
        <w:pStyle w:val="Heading2"/>
      </w:pPr>
      <w:r>
        <w:t>Related Information Sheets</w:t>
      </w:r>
    </w:p>
    <w:p>
      <w:hyperlink r:id="rId12">
        <w:r>
          <w:rPr>
            <w:color w:val="245B43"/>
            <w:u w:val="single"/>
          </w:rPr>
          <w:t>Plant Care Information Sheet - Neem Oil</w:t>
        </w:r>
      </w:hyperlink>
    </w:p>
    <w:p>
      <w:hyperlink r:id="rId13">
        <w:r>
          <w:rPr>
            <w:color w:val="245B43"/>
            <w:u w:val="single"/>
          </w:rPr>
          <w:t>Soil Information Sheet - Soil Chemistry and Nitrogen Conversions</w:t>
        </w:r>
      </w:hyperlink>
    </w:p>
    <w:p>
      <w:pPr>
        <w:pStyle w:val="Heading2"/>
      </w:pPr>
      <w:r>
        <w:t>Sources and further reading</w:t>
      </w:r>
    </w:p>
    <w:p>
      <w:hyperlink r:id="rId14">
        <w:r>
          <w:rPr>
            <w:color w:val="245B43"/>
            <w:u w:val="single"/>
          </w:rPr>
          <w:t>Purdue Plant and Pest Diagnostic Laboratory</w:t>
        </w:r>
      </w:hyperlink>
    </w:p>
    <w:p>
      <w:hyperlink r:id="rId15">
        <w:r>
          <w:rPr>
            <w:color w:val="245B43"/>
            <w:u w:val="single"/>
          </w:rPr>
          <w:t>EPA Introduction to Pesticide Labels</w:t>
        </w:r>
      </w:hyperlink>
    </w:p>
    <w:p>
      <w:r>
        <w:rPr>
          <w:b w:val="0"/>
          <w:i w:val="0"/>
        </w:rPr>
        <w:t xml:space="preserve">Added September 22, 2026 · </w:t>
      </w:r>
      <w:hyperlink r:id="rId16">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plant-disease-diagnosis/" TargetMode="External"/><Relationship Id="rId12" Type="http://schemas.openxmlformats.org/officeDocument/2006/relationships/hyperlink" Target="https://planteducationproject.com/guides/neem-oil/" TargetMode="External"/><Relationship Id="rId13" Type="http://schemas.openxmlformats.org/officeDocument/2006/relationships/hyperlink" Target="https://planteducationproject.com/guides/soil-chemistry-and-nitrogen-conversions/" TargetMode="External"/><Relationship Id="rId14" Type="http://schemas.openxmlformats.org/officeDocument/2006/relationships/hyperlink" Target="https://ag.purdue.edu/department/btny/ppdl/" TargetMode="External"/><Relationship Id="rId15" Type="http://schemas.openxmlformats.org/officeDocument/2006/relationships/hyperlink" Target="https://www.epa.gov/pesticide-labels/introduction-pesticide-labels" TargetMode="External"/><Relationship Id="rId16" Type="http://schemas.openxmlformats.org/officeDocument/2006/relationships/hyperlink" Target="https://planteducationproject.com/information-sheets/master-index/" TargetMode="External"/><Relationship Id="rId17"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plant disease diagnosis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