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Outdoor Native Grasses</w:t>
      </w:r>
    </w:p>
    <w:p>
      <w:pPr>
        <w:spacing w:after="320"/>
      </w:pPr>
      <w:r>
        <w:t>Combined Information Sheets</w:t>
      </w:r>
    </w:p>
    <w:p>
      <w:pPr>
        <w:pStyle w:val="Heading1"/>
      </w:pPr>
      <w:r>
        <w:t>Outdoor Native Grasses</w:t>
      </w:r>
    </w:p>
    <w:p>
      <w:r>
        <w:rPr>
          <w:b/>
        </w:rPr>
        <w:t xml:space="preserve">Online Information Sheet: </w:t>
      </w:r>
      <w:hyperlink r:id="rId11">
        <w:r>
          <w:rPr>
            <w:color w:val="245B43"/>
            <w:u w:val="single"/>
          </w:rPr>
          <w:t>planteducationproject.com/guides/outdoor-native-grasses/</w:t>
        </w:r>
      </w:hyperlink>
    </w:p>
    <w:p>
      <w:r>
        <w:rPr>
          <w:b w:val="0"/>
          <w:i w:val="0"/>
        </w:rPr>
        <w:t>🌿 Information Sheet</w:t>
      </w:r>
    </w:p>
    <w:p>
      <w:pPr>
        <w:pStyle w:val="Heading2"/>
      </w:pPr>
      <w:r>
        <w:t>Indiana &amp; Lower Midwest Landscape Guide</w:t>
      </w:r>
    </w:p>
    <w:p>
      <w:r>
        <w:rPr>
          <w:b w:val="0"/>
          <w:i w:val="0"/>
        </w:rPr>
        <w:t>To understand the care of a plant, understand its native climate and environment.</w:t>
      </w:r>
    </w:p>
    <w:p>
      <w:pPr>
        <w:pStyle w:val="Heading2"/>
      </w:pPr>
      <w:r>
        <w:t>Key Point</w:t>
      </w:r>
    </w:p>
    <w:p>
      <w:r>
        <w:rPr>
          <w:b w:val="0"/>
          <w:i w:val="0"/>
        </w:rPr>
        <w:t>Native grasses work best when the species is matched to the site. Sunlight, soil moisture, mature height, and growth habit matter more than fertilizer or extensive soil amendment.</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Best light</w:t>
            </w:r>
          </w:p>
        </w:tc>
        <w:tc>
          <w:tcPr>
            <w:tcW w:type="dxa" w:w="5083"/>
            <w:vAlign w:val="center"/>
            <w:shd w:fill="FFFFFF"/>
          </w:tcPr>
          <w:p>
            <w:pPr>
              <w:spacing w:after="60"/>
            </w:pPr>
            <w:r>
              <w:rPr>
                <w:b w:val="0"/>
                <w:i w:val="0"/>
                <w:sz w:val="22"/>
              </w:rPr>
              <w:t>Most prairie species: full sun; woodland-edge species tolerate part shade.</w:t>
            </w:r>
          </w:p>
        </w:tc>
      </w:tr>
      <w:tr>
        <w:trPr>
          <w:cantSplit/>
        </w:trPr>
        <w:tc>
          <w:tcPr>
            <w:tcW w:type="dxa" w:w="5083"/>
            <w:vAlign w:val="center"/>
            <w:shd w:fill="FFFFFF"/>
          </w:tcPr>
          <w:p>
            <w:pPr>
              <w:spacing w:after="60"/>
            </w:pPr>
            <w:r>
              <w:rPr>
                <w:b/>
                <w:i w:val="0"/>
                <w:sz w:val="22"/>
              </w:rPr>
              <w:t>Soil</w:t>
            </w:r>
          </w:p>
        </w:tc>
        <w:tc>
          <w:tcPr>
            <w:tcW w:type="dxa" w:w="5083"/>
            <w:vAlign w:val="center"/>
            <w:shd w:fill="FFFFFF"/>
          </w:tcPr>
          <w:p>
            <w:pPr>
              <w:spacing w:after="60"/>
            </w:pPr>
            <w:r>
              <w:rPr>
                <w:b w:val="0"/>
                <w:i w:val="0"/>
                <w:sz w:val="22"/>
              </w:rPr>
              <w:t>Match species to existing soil. Many prairie grasses tolerate lean soils and do not need rich amendments.</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Regular moisture during establishment; many prairie species become drought tolerant after establishment.</w:t>
            </w:r>
          </w:p>
        </w:tc>
      </w:tr>
      <w:tr>
        <w:trPr>
          <w:cantSplit/>
        </w:trPr>
        <w:tc>
          <w:tcPr>
            <w:tcW w:type="dxa" w:w="5083"/>
            <w:vAlign w:val="center"/>
            <w:shd w:fill="FFFFFF"/>
          </w:tcPr>
          <w:p>
            <w:pPr>
              <w:spacing w:after="60"/>
            </w:pPr>
            <w:r>
              <w:rPr>
                <w:b/>
                <w:i w:val="0"/>
                <w:sz w:val="22"/>
              </w:rPr>
              <w:t>Fertilizer</w:t>
            </w:r>
          </w:p>
        </w:tc>
        <w:tc>
          <w:tcPr>
            <w:tcW w:type="dxa" w:w="5083"/>
            <w:vAlign w:val="center"/>
            <w:shd w:fill="FFFFFF"/>
          </w:tcPr>
          <w:p>
            <w:pPr>
              <w:spacing w:after="60"/>
            </w:pPr>
            <w:r>
              <w:rPr>
                <w:b w:val="0"/>
                <w:i w:val="0"/>
                <w:sz w:val="22"/>
              </w:rPr>
              <w:t>Usually little or none. Excess nitrogen encourages weak, floppy growth.</w:t>
            </w:r>
          </w:p>
        </w:tc>
      </w:tr>
      <w:tr>
        <w:trPr>
          <w:cantSplit/>
        </w:trPr>
        <w:tc>
          <w:tcPr>
            <w:tcW w:type="dxa" w:w="5083"/>
            <w:vAlign w:val="center"/>
            <w:shd w:fill="FFFFFF"/>
          </w:tcPr>
          <w:p>
            <w:pPr>
              <w:spacing w:after="60"/>
            </w:pPr>
            <w:r>
              <w:rPr>
                <w:b/>
                <w:i w:val="0"/>
                <w:sz w:val="22"/>
              </w:rPr>
              <w:t>Planting</w:t>
            </w:r>
          </w:p>
        </w:tc>
        <w:tc>
          <w:tcPr>
            <w:tcW w:type="dxa" w:w="5083"/>
            <w:vAlign w:val="center"/>
            <w:shd w:fill="FFFFFF"/>
          </w:tcPr>
          <w:p>
            <w:pPr>
              <w:spacing w:after="60"/>
            </w:pPr>
            <w:r>
              <w:rPr>
                <w:b w:val="0"/>
                <w:i w:val="0"/>
                <w:sz w:val="22"/>
              </w:rPr>
              <w:t>Spring or fall; eliminate perennial weeds first and water reliably while roots establish.</w:t>
            </w:r>
          </w:p>
        </w:tc>
      </w:tr>
      <w:tr>
        <w:trPr>
          <w:cantSplit/>
        </w:trPr>
        <w:tc>
          <w:tcPr>
            <w:tcW w:type="dxa" w:w="5083"/>
            <w:vAlign w:val="center"/>
            <w:shd w:fill="FFFFFF"/>
          </w:tcPr>
          <w:p>
            <w:pPr>
              <w:spacing w:after="60"/>
            </w:pPr>
            <w:r>
              <w:rPr>
                <w:b/>
                <w:i w:val="0"/>
                <w:sz w:val="22"/>
              </w:rPr>
              <w:t>Annual care</w:t>
            </w:r>
          </w:p>
        </w:tc>
        <w:tc>
          <w:tcPr>
            <w:tcW w:type="dxa" w:w="5083"/>
            <w:vAlign w:val="center"/>
            <w:shd w:fill="FFFFFF"/>
          </w:tcPr>
          <w:p>
            <w:pPr>
              <w:spacing w:after="60"/>
            </w:pPr>
            <w:r>
              <w:rPr>
                <w:b w:val="0"/>
                <w:i w:val="0"/>
                <w:sz w:val="22"/>
              </w:rPr>
              <w:t>Leave standing through winter; cut old stems back in late winter or early spring.</w:t>
            </w:r>
          </w:p>
        </w:tc>
      </w:tr>
      <w:tr>
        <w:trPr>
          <w:cantSplit/>
        </w:trPr>
        <w:tc>
          <w:tcPr>
            <w:tcW w:type="dxa" w:w="5083"/>
            <w:vAlign w:val="center"/>
            <w:shd w:fill="FFFFFF"/>
          </w:tcPr>
          <w:p>
            <w:pPr>
              <w:spacing w:after="60"/>
            </w:pPr>
            <w:r>
              <w:rPr>
                <w:b/>
                <w:i w:val="0"/>
                <w:sz w:val="22"/>
              </w:rPr>
              <w:t>Wildlife value</w:t>
            </w:r>
          </w:p>
        </w:tc>
        <w:tc>
          <w:tcPr>
            <w:tcW w:type="dxa" w:w="5083"/>
            <w:vAlign w:val="center"/>
            <w:shd w:fill="FFFFFF"/>
          </w:tcPr>
          <w:p>
            <w:pPr>
              <w:spacing w:after="60"/>
            </w:pPr>
            <w:r>
              <w:rPr>
                <w:b w:val="0"/>
                <w:i w:val="0"/>
                <w:sz w:val="22"/>
              </w:rPr>
              <w:t>Seeds, cover, nesting material, insect habitat, soil stabilization, and below-ground carbon storage.</w:t>
            </w:r>
          </w:p>
        </w:tc>
      </w:tr>
    </w:tbl>
    <w:p>
      <w:pPr>
        <w:spacing w:after="20"/>
      </w:pPr>
    </w:p>
    <w:p>
      <w:pPr>
        <w:pStyle w:val="Heading2"/>
      </w:pPr>
      <w:r>
        <w:t>Recommended Native Grasses</w:t>
      </w:r>
    </w:p>
    <w:tbl>
      <w:tblPr>
        <w:tblW w:type="auto" w:w="0"/>
        <w:jc w:val="center"/>
        <w:tblLayout w:type="autofit"/>
        <w:tblLook w:firstColumn="1" w:firstRow="1" w:lastColumn="0" w:lastRow="0" w:noHBand="0" w:noVBand="1" w:val="04A0"/>
      </w:tblPr>
      <w:tblGrid>
        <w:gridCol w:w="1694"/>
        <w:gridCol w:w="1694"/>
        <w:gridCol w:w="1694"/>
        <w:gridCol w:w="1694"/>
        <w:gridCol w:w="1694"/>
        <w:gridCol w:w="1694"/>
      </w:tblGrid>
      <w:tr>
        <w:trPr>
          <w:cantSplit/>
          <w:tblHeader w:val="true"/>
        </w:trPr>
        <w:tc>
          <w:tcPr>
            <w:tcW w:type="dxa" w:w="1694"/>
            <w:vAlign w:val="center"/>
            <w:shd w:fill="E9EDF0"/>
          </w:tcPr>
          <w:p>
            <w:pPr>
              <w:spacing w:after="60"/>
            </w:pPr>
            <w:r>
              <w:rPr>
                <w:b/>
                <w:i w:val="0"/>
                <w:sz w:val="22"/>
              </w:rPr>
              <w:t>Common name</w:t>
            </w:r>
          </w:p>
        </w:tc>
        <w:tc>
          <w:tcPr>
            <w:tcW w:type="dxa" w:w="1694"/>
            <w:vAlign w:val="center"/>
            <w:shd w:fill="E9EDF0"/>
          </w:tcPr>
          <w:p>
            <w:pPr>
              <w:spacing w:after="60"/>
            </w:pPr>
            <w:r>
              <w:rPr>
                <w:b/>
                <w:i w:val="0"/>
                <w:sz w:val="22"/>
              </w:rPr>
              <w:t>Botanical name</w:t>
            </w:r>
          </w:p>
        </w:tc>
        <w:tc>
          <w:tcPr>
            <w:tcW w:type="dxa" w:w="1694"/>
            <w:vAlign w:val="center"/>
            <w:shd w:fill="E9EDF0"/>
          </w:tcPr>
          <w:p>
            <w:pPr>
              <w:spacing w:after="60"/>
            </w:pPr>
            <w:r>
              <w:rPr>
                <w:b/>
                <w:i w:val="0"/>
                <w:sz w:val="22"/>
              </w:rPr>
              <w:t>Height</w:t>
            </w:r>
          </w:p>
        </w:tc>
        <w:tc>
          <w:tcPr>
            <w:tcW w:type="dxa" w:w="1694"/>
            <w:vAlign w:val="center"/>
            <w:shd w:fill="E9EDF0"/>
          </w:tcPr>
          <w:p>
            <w:pPr>
              <w:spacing w:after="60"/>
            </w:pPr>
            <w:r>
              <w:rPr>
                <w:b/>
                <w:i w:val="0"/>
                <w:sz w:val="22"/>
              </w:rPr>
              <w:t>Light</w:t>
            </w:r>
          </w:p>
        </w:tc>
        <w:tc>
          <w:tcPr>
            <w:tcW w:type="dxa" w:w="1694"/>
            <w:vAlign w:val="center"/>
            <w:shd w:fill="E9EDF0"/>
          </w:tcPr>
          <w:p>
            <w:pPr>
              <w:spacing w:after="60"/>
            </w:pPr>
            <w:r>
              <w:rPr>
                <w:b/>
                <w:i w:val="0"/>
                <w:sz w:val="22"/>
              </w:rPr>
              <w:t>Moisture</w:t>
            </w:r>
          </w:p>
        </w:tc>
        <w:tc>
          <w:tcPr>
            <w:tcW w:type="dxa" w:w="1694"/>
            <w:vAlign w:val="center"/>
            <w:shd w:fill="E9EDF0"/>
          </w:tcPr>
          <w:p>
            <w:pPr>
              <w:spacing w:after="60"/>
            </w:pPr>
            <w:r>
              <w:rPr>
                <w:b/>
                <w:i w:val="0"/>
                <w:sz w:val="22"/>
              </w:rPr>
              <w:t>Use</w:t>
            </w:r>
          </w:p>
        </w:tc>
      </w:tr>
      <w:tr>
        <w:trPr>
          <w:cantSplit/>
        </w:trPr>
        <w:tc>
          <w:tcPr>
            <w:tcW w:type="dxa" w:w="1694"/>
            <w:vAlign w:val="center"/>
            <w:shd w:fill="FFFFFF"/>
          </w:tcPr>
          <w:p>
            <w:pPr>
              <w:spacing w:after="60"/>
            </w:pPr>
            <w:r>
              <w:rPr>
                <w:b/>
                <w:i w:val="0"/>
                <w:sz w:val="22"/>
              </w:rPr>
              <w:t>Little bluestem</w:t>
            </w:r>
          </w:p>
        </w:tc>
        <w:tc>
          <w:tcPr>
            <w:tcW w:type="dxa" w:w="1694"/>
            <w:vAlign w:val="center"/>
            <w:shd w:fill="FFFFFF"/>
          </w:tcPr>
          <w:p>
            <w:pPr>
              <w:spacing w:after="60"/>
            </w:pPr>
            <w:r>
              <w:rPr>
                <w:b w:val="0"/>
                <w:i w:val="0"/>
                <w:sz w:val="22"/>
              </w:rPr>
              <w:t>Schizachyrium scoparium</w:t>
            </w:r>
          </w:p>
        </w:tc>
        <w:tc>
          <w:tcPr>
            <w:tcW w:type="dxa" w:w="1694"/>
            <w:vAlign w:val="center"/>
            <w:shd w:fill="FFFFFF"/>
          </w:tcPr>
          <w:p>
            <w:pPr>
              <w:spacing w:after="60"/>
            </w:pPr>
            <w:r>
              <w:rPr>
                <w:b w:val="0"/>
                <w:i w:val="0"/>
                <w:sz w:val="22"/>
              </w:rPr>
              <w:t>2–4 ft</w:t>
            </w:r>
          </w:p>
        </w:tc>
        <w:tc>
          <w:tcPr>
            <w:tcW w:type="dxa" w:w="1694"/>
            <w:vAlign w:val="center"/>
            <w:shd w:fill="FFFFFF"/>
          </w:tcPr>
          <w:p>
            <w:pPr>
              <w:spacing w:after="60"/>
            </w:pPr>
            <w:r>
              <w:rPr>
                <w:b w:val="0"/>
                <w:i w:val="0"/>
                <w:sz w:val="22"/>
              </w:rPr>
              <w:t>Sun</w:t>
            </w:r>
          </w:p>
        </w:tc>
        <w:tc>
          <w:tcPr>
            <w:tcW w:type="dxa" w:w="1694"/>
            <w:vAlign w:val="center"/>
            <w:shd w:fill="FFFFFF"/>
          </w:tcPr>
          <w:p>
            <w:pPr>
              <w:spacing w:after="60"/>
            </w:pPr>
            <w:r>
              <w:rPr>
                <w:b w:val="0"/>
                <w:i w:val="0"/>
                <w:sz w:val="22"/>
              </w:rPr>
              <w:t>Dry–medium</w:t>
            </w:r>
          </w:p>
        </w:tc>
        <w:tc>
          <w:tcPr>
            <w:tcW w:type="dxa" w:w="1694"/>
            <w:vAlign w:val="center"/>
            <w:shd w:fill="FFFFFF"/>
          </w:tcPr>
          <w:p>
            <w:pPr>
              <w:spacing w:after="60"/>
            </w:pPr>
            <w:r>
              <w:rPr>
                <w:b w:val="0"/>
                <w:i w:val="0"/>
                <w:sz w:val="22"/>
              </w:rPr>
              <w:t>Compact bunch grass; excellent fall color.</w:t>
            </w:r>
          </w:p>
        </w:tc>
      </w:tr>
      <w:tr>
        <w:trPr>
          <w:cantSplit/>
        </w:trPr>
        <w:tc>
          <w:tcPr>
            <w:tcW w:type="dxa" w:w="1694"/>
            <w:vAlign w:val="center"/>
            <w:shd w:fill="FFFFFF"/>
          </w:tcPr>
          <w:p>
            <w:pPr>
              <w:spacing w:after="60"/>
            </w:pPr>
            <w:r>
              <w:rPr>
                <w:b/>
                <w:i w:val="0"/>
                <w:sz w:val="22"/>
              </w:rPr>
              <w:t>Big bluestem</w:t>
            </w:r>
          </w:p>
        </w:tc>
        <w:tc>
          <w:tcPr>
            <w:tcW w:type="dxa" w:w="1694"/>
            <w:vAlign w:val="center"/>
            <w:shd w:fill="FFFFFF"/>
          </w:tcPr>
          <w:p>
            <w:pPr>
              <w:spacing w:after="60"/>
            </w:pPr>
            <w:r>
              <w:rPr>
                <w:b w:val="0"/>
                <w:i w:val="0"/>
                <w:sz w:val="22"/>
              </w:rPr>
              <w:t>Andropogon gerardii</w:t>
            </w:r>
          </w:p>
        </w:tc>
        <w:tc>
          <w:tcPr>
            <w:tcW w:type="dxa" w:w="1694"/>
            <w:vAlign w:val="center"/>
            <w:shd w:fill="FFFFFF"/>
          </w:tcPr>
          <w:p>
            <w:pPr>
              <w:spacing w:after="60"/>
            </w:pPr>
            <w:r>
              <w:rPr>
                <w:b w:val="0"/>
                <w:i w:val="0"/>
                <w:sz w:val="22"/>
              </w:rPr>
              <w:t>4–8 ft</w:t>
            </w:r>
          </w:p>
        </w:tc>
        <w:tc>
          <w:tcPr>
            <w:tcW w:type="dxa" w:w="1694"/>
            <w:vAlign w:val="center"/>
            <w:shd w:fill="FFFFFF"/>
          </w:tcPr>
          <w:p>
            <w:pPr>
              <w:spacing w:after="60"/>
            </w:pPr>
            <w:r>
              <w:rPr>
                <w:b w:val="0"/>
                <w:i w:val="0"/>
                <w:sz w:val="22"/>
              </w:rPr>
              <w:t>Sun</w:t>
            </w:r>
          </w:p>
        </w:tc>
        <w:tc>
          <w:tcPr>
            <w:tcW w:type="dxa" w:w="1694"/>
            <w:vAlign w:val="center"/>
            <w:shd w:fill="FFFFFF"/>
          </w:tcPr>
          <w:p>
            <w:pPr>
              <w:spacing w:after="60"/>
            </w:pPr>
            <w:r>
              <w:rPr>
                <w:b w:val="0"/>
                <w:i w:val="0"/>
                <w:sz w:val="22"/>
              </w:rPr>
              <w:t>Medium</w:t>
            </w:r>
          </w:p>
        </w:tc>
        <w:tc>
          <w:tcPr>
            <w:tcW w:type="dxa" w:w="1694"/>
            <w:vAlign w:val="center"/>
            <w:shd w:fill="FFFFFF"/>
          </w:tcPr>
          <w:p>
            <w:pPr>
              <w:spacing w:after="60"/>
            </w:pPr>
            <w:r>
              <w:rPr>
                <w:b w:val="0"/>
                <w:i w:val="0"/>
                <w:sz w:val="22"/>
              </w:rPr>
              <w:t>Tall background grass; classic tallgrass prairie species.</w:t>
            </w:r>
          </w:p>
        </w:tc>
      </w:tr>
      <w:tr>
        <w:trPr>
          <w:cantSplit/>
        </w:trPr>
        <w:tc>
          <w:tcPr>
            <w:tcW w:type="dxa" w:w="1694"/>
            <w:vAlign w:val="center"/>
            <w:shd w:fill="FFFFFF"/>
          </w:tcPr>
          <w:p>
            <w:pPr>
              <w:spacing w:after="60"/>
            </w:pPr>
            <w:r>
              <w:rPr>
                <w:b/>
                <w:i w:val="0"/>
                <w:sz w:val="22"/>
              </w:rPr>
              <w:t>Indiangrass</w:t>
            </w:r>
          </w:p>
        </w:tc>
        <w:tc>
          <w:tcPr>
            <w:tcW w:type="dxa" w:w="1694"/>
            <w:vAlign w:val="center"/>
            <w:shd w:fill="FFFFFF"/>
          </w:tcPr>
          <w:p>
            <w:pPr>
              <w:spacing w:after="60"/>
            </w:pPr>
            <w:r>
              <w:rPr>
                <w:b w:val="0"/>
                <w:i w:val="0"/>
                <w:sz w:val="22"/>
              </w:rPr>
              <w:t>Sorghastrum nutans</w:t>
            </w:r>
          </w:p>
        </w:tc>
        <w:tc>
          <w:tcPr>
            <w:tcW w:type="dxa" w:w="1694"/>
            <w:vAlign w:val="center"/>
            <w:shd w:fill="FFFFFF"/>
          </w:tcPr>
          <w:p>
            <w:pPr>
              <w:spacing w:after="60"/>
            </w:pPr>
            <w:r>
              <w:rPr>
                <w:b w:val="0"/>
                <w:i w:val="0"/>
                <w:sz w:val="22"/>
              </w:rPr>
              <w:t>3–7 ft</w:t>
            </w:r>
          </w:p>
        </w:tc>
        <w:tc>
          <w:tcPr>
            <w:tcW w:type="dxa" w:w="1694"/>
            <w:vAlign w:val="center"/>
            <w:shd w:fill="FFFFFF"/>
          </w:tcPr>
          <w:p>
            <w:pPr>
              <w:spacing w:after="60"/>
            </w:pPr>
            <w:r>
              <w:rPr>
                <w:b w:val="0"/>
                <w:i w:val="0"/>
                <w:sz w:val="22"/>
              </w:rPr>
              <w:t>Sun</w:t>
            </w:r>
          </w:p>
        </w:tc>
        <w:tc>
          <w:tcPr>
            <w:tcW w:type="dxa" w:w="1694"/>
            <w:vAlign w:val="center"/>
            <w:shd w:fill="FFFFFF"/>
          </w:tcPr>
          <w:p>
            <w:pPr>
              <w:spacing w:after="60"/>
            </w:pPr>
            <w:r>
              <w:rPr>
                <w:b w:val="0"/>
                <w:i w:val="0"/>
                <w:sz w:val="22"/>
              </w:rPr>
              <w:t>Dry–medium</w:t>
            </w:r>
          </w:p>
        </w:tc>
        <w:tc>
          <w:tcPr>
            <w:tcW w:type="dxa" w:w="1694"/>
            <w:vAlign w:val="center"/>
            <w:shd w:fill="FFFFFF"/>
          </w:tcPr>
          <w:p>
            <w:pPr>
              <w:spacing w:after="60"/>
            </w:pPr>
            <w:r>
              <w:rPr>
                <w:b w:val="0"/>
                <w:i w:val="0"/>
                <w:sz w:val="22"/>
              </w:rPr>
              <w:t>Golden seed heads; strong prairie character.</w:t>
            </w:r>
          </w:p>
        </w:tc>
      </w:tr>
      <w:tr>
        <w:trPr>
          <w:cantSplit/>
        </w:trPr>
        <w:tc>
          <w:tcPr>
            <w:tcW w:type="dxa" w:w="1694"/>
            <w:vAlign w:val="center"/>
            <w:shd w:fill="FFFFFF"/>
          </w:tcPr>
          <w:p>
            <w:pPr>
              <w:spacing w:after="60"/>
            </w:pPr>
            <w:r>
              <w:rPr>
                <w:b/>
                <w:i w:val="0"/>
                <w:sz w:val="22"/>
              </w:rPr>
              <w:t>Switchgrass</w:t>
            </w:r>
          </w:p>
        </w:tc>
        <w:tc>
          <w:tcPr>
            <w:tcW w:type="dxa" w:w="1694"/>
            <w:vAlign w:val="center"/>
            <w:shd w:fill="FFFFFF"/>
          </w:tcPr>
          <w:p>
            <w:pPr>
              <w:spacing w:after="60"/>
            </w:pPr>
            <w:r>
              <w:rPr>
                <w:b w:val="0"/>
                <w:i w:val="0"/>
                <w:sz w:val="22"/>
              </w:rPr>
              <w:t>Panicum virgatum</w:t>
            </w:r>
          </w:p>
        </w:tc>
        <w:tc>
          <w:tcPr>
            <w:tcW w:type="dxa" w:w="1694"/>
            <w:vAlign w:val="center"/>
            <w:shd w:fill="FFFFFF"/>
          </w:tcPr>
          <w:p>
            <w:pPr>
              <w:spacing w:after="60"/>
            </w:pPr>
            <w:r>
              <w:rPr>
                <w:b w:val="0"/>
                <w:i w:val="0"/>
                <w:sz w:val="22"/>
              </w:rPr>
              <w:t>3–6 ft</w:t>
            </w:r>
          </w:p>
        </w:tc>
        <w:tc>
          <w:tcPr>
            <w:tcW w:type="dxa" w:w="1694"/>
            <w:vAlign w:val="center"/>
            <w:shd w:fill="FFFFFF"/>
          </w:tcPr>
          <w:p>
            <w:pPr>
              <w:spacing w:after="60"/>
            </w:pPr>
            <w:r>
              <w:rPr>
                <w:b w:val="0"/>
                <w:i w:val="0"/>
                <w:sz w:val="22"/>
              </w:rPr>
              <w:t>Sun</w:t>
            </w:r>
          </w:p>
        </w:tc>
        <w:tc>
          <w:tcPr>
            <w:tcW w:type="dxa" w:w="1694"/>
            <w:vAlign w:val="center"/>
            <w:shd w:fill="FFFFFF"/>
          </w:tcPr>
          <w:p>
            <w:pPr>
              <w:spacing w:after="60"/>
            </w:pPr>
            <w:r>
              <w:rPr>
                <w:b w:val="0"/>
                <w:i w:val="0"/>
                <w:sz w:val="22"/>
              </w:rPr>
              <w:t>Medium–moist</w:t>
            </w:r>
          </w:p>
        </w:tc>
        <w:tc>
          <w:tcPr>
            <w:tcW w:type="dxa" w:w="1694"/>
            <w:vAlign w:val="center"/>
            <w:shd w:fill="FFFFFF"/>
          </w:tcPr>
          <w:p>
            <w:pPr>
              <w:spacing w:after="60"/>
            </w:pPr>
            <w:r>
              <w:rPr>
                <w:b w:val="0"/>
                <w:i w:val="0"/>
                <w:sz w:val="22"/>
              </w:rPr>
              <w:t>Upright and adaptable; some forms spread.</w:t>
            </w:r>
          </w:p>
        </w:tc>
      </w:tr>
      <w:tr>
        <w:trPr>
          <w:cantSplit/>
        </w:trPr>
        <w:tc>
          <w:tcPr>
            <w:tcW w:type="dxa" w:w="1694"/>
            <w:vAlign w:val="center"/>
            <w:shd w:fill="FFFFFF"/>
          </w:tcPr>
          <w:p>
            <w:pPr>
              <w:spacing w:after="60"/>
            </w:pPr>
            <w:r>
              <w:rPr>
                <w:b/>
                <w:i w:val="0"/>
                <w:sz w:val="22"/>
              </w:rPr>
              <w:t>Prairie dropseed</w:t>
            </w:r>
          </w:p>
        </w:tc>
        <w:tc>
          <w:tcPr>
            <w:tcW w:type="dxa" w:w="1694"/>
            <w:vAlign w:val="center"/>
            <w:shd w:fill="FFFFFF"/>
          </w:tcPr>
          <w:p>
            <w:pPr>
              <w:spacing w:after="60"/>
            </w:pPr>
            <w:r>
              <w:rPr>
                <w:b w:val="0"/>
                <w:i w:val="0"/>
                <w:sz w:val="22"/>
              </w:rPr>
              <w:t>Sporobolus heterolepis</w:t>
            </w:r>
          </w:p>
        </w:tc>
        <w:tc>
          <w:tcPr>
            <w:tcW w:type="dxa" w:w="1694"/>
            <w:vAlign w:val="center"/>
            <w:shd w:fill="FFFFFF"/>
          </w:tcPr>
          <w:p>
            <w:pPr>
              <w:spacing w:after="60"/>
            </w:pPr>
            <w:r>
              <w:rPr>
                <w:b w:val="0"/>
                <w:i w:val="0"/>
                <w:sz w:val="22"/>
              </w:rPr>
              <w:t>2–3 ft</w:t>
            </w:r>
          </w:p>
        </w:tc>
        <w:tc>
          <w:tcPr>
            <w:tcW w:type="dxa" w:w="1694"/>
            <w:vAlign w:val="center"/>
            <w:shd w:fill="FFFFFF"/>
          </w:tcPr>
          <w:p>
            <w:pPr>
              <w:spacing w:after="60"/>
            </w:pPr>
            <w:r>
              <w:rPr>
                <w:b w:val="0"/>
                <w:i w:val="0"/>
                <w:sz w:val="22"/>
              </w:rPr>
              <w:t>Sun</w:t>
            </w:r>
          </w:p>
        </w:tc>
        <w:tc>
          <w:tcPr>
            <w:tcW w:type="dxa" w:w="1694"/>
            <w:vAlign w:val="center"/>
            <w:shd w:fill="FFFFFF"/>
          </w:tcPr>
          <w:p>
            <w:pPr>
              <w:spacing w:after="60"/>
            </w:pPr>
            <w:r>
              <w:rPr>
                <w:b w:val="0"/>
                <w:i w:val="0"/>
                <w:sz w:val="22"/>
              </w:rPr>
              <w:t>Dry–medium</w:t>
            </w:r>
          </w:p>
        </w:tc>
        <w:tc>
          <w:tcPr>
            <w:tcW w:type="dxa" w:w="1694"/>
            <w:vAlign w:val="center"/>
            <w:shd w:fill="FFFFFF"/>
          </w:tcPr>
          <w:p>
            <w:pPr>
              <w:spacing w:after="60"/>
            </w:pPr>
            <w:r>
              <w:rPr>
                <w:b w:val="0"/>
                <w:i w:val="0"/>
                <w:sz w:val="22"/>
              </w:rPr>
              <w:t>Fine-textured bunch grass; good near paths.</w:t>
            </w:r>
          </w:p>
        </w:tc>
      </w:tr>
      <w:tr>
        <w:trPr>
          <w:cantSplit/>
        </w:trPr>
        <w:tc>
          <w:tcPr>
            <w:tcW w:type="dxa" w:w="1694"/>
            <w:vAlign w:val="center"/>
            <w:shd w:fill="FFFFFF"/>
          </w:tcPr>
          <w:p>
            <w:pPr>
              <w:spacing w:after="60"/>
            </w:pPr>
            <w:r>
              <w:rPr>
                <w:b/>
                <w:i w:val="0"/>
                <w:sz w:val="22"/>
              </w:rPr>
              <w:t>Sideoats grama</w:t>
            </w:r>
          </w:p>
        </w:tc>
        <w:tc>
          <w:tcPr>
            <w:tcW w:type="dxa" w:w="1694"/>
            <w:vAlign w:val="center"/>
            <w:shd w:fill="FFFFFF"/>
          </w:tcPr>
          <w:p>
            <w:pPr>
              <w:spacing w:after="60"/>
            </w:pPr>
            <w:r>
              <w:rPr>
                <w:b w:val="0"/>
                <w:i w:val="0"/>
                <w:sz w:val="22"/>
              </w:rPr>
              <w:t>Bouteloua curtipendula</w:t>
            </w:r>
          </w:p>
        </w:tc>
        <w:tc>
          <w:tcPr>
            <w:tcW w:type="dxa" w:w="1694"/>
            <w:vAlign w:val="center"/>
            <w:shd w:fill="FFFFFF"/>
          </w:tcPr>
          <w:p>
            <w:pPr>
              <w:spacing w:after="60"/>
            </w:pPr>
            <w:r>
              <w:rPr>
                <w:b w:val="0"/>
                <w:i w:val="0"/>
                <w:sz w:val="22"/>
              </w:rPr>
              <w:t>2–3 ft</w:t>
            </w:r>
          </w:p>
        </w:tc>
        <w:tc>
          <w:tcPr>
            <w:tcW w:type="dxa" w:w="1694"/>
            <w:vAlign w:val="center"/>
            <w:shd w:fill="FFFFFF"/>
          </w:tcPr>
          <w:p>
            <w:pPr>
              <w:spacing w:after="60"/>
            </w:pPr>
            <w:r>
              <w:rPr>
                <w:b w:val="0"/>
                <w:i w:val="0"/>
                <w:sz w:val="22"/>
              </w:rPr>
              <w:t>Sun</w:t>
            </w:r>
          </w:p>
        </w:tc>
        <w:tc>
          <w:tcPr>
            <w:tcW w:type="dxa" w:w="1694"/>
            <w:vAlign w:val="center"/>
            <w:shd w:fill="FFFFFF"/>
          </w:tcPr>
          <w:p>
            <w:pPr>
              <w:spacing w:after="60"/>
            </w:pPr>
            <w:r>
              <w:rPr>
                <w:b w:val="0"/>
                <w:i w:val="0"/>
                <w:sz w:val="22"/>
              </w:rPr>
              <w:t>Dry–medium</w:t>
            </w:r>
          </w:p>
        </w:tc>
        <w:tc>
          <w:tcPr>
            <w:tcW w:type="dxa" w:w="1694"/>
            <w:vAlign w:val="center"/>
            <w:shd w:fill="FFFFFF"/>
          </w:tcPr>
          <w:p>
            <w:pPr>
              <w:spacing w:after="60"/>
            </w:pPr>
            <w:r>
              <w:rPr>
                <w:b w:val="0"/>
                <w:i w:val="0"/>
                <w:sz w:val="22"/>
              </w:rPr>
              <w:t>Distinctive seed heads; useful in dry plantings.</w:t>
            </w:r>
          </w:p>
        </w:tc>
      </w:tr>
      <w:tr>
        <w:trPr>
          <w:cantSplit/>
        </w:trPr>
        <w:tc>
          <w:tcPr>
            <w:tcW w:type="dxa" w:w="1694"/>
            <w:vAlign w:val="center"/>
            <w:shd w:fill="FFFFFF"/>
          </w:tcPr>
          <w:p>
            <w:pPr>
              <w:spacing w:after="60"/>
            </w:pPr>
            <w:r>
              <w:rPr>
                <w:b/>
                <w:i w:val="0"/>
                <w:sz w:val="22"/>
              </w:rPr>
              <w:t>River oats</w:t>
            </w:r>
          </w:p>
        </w:tc>
        <w:tc>
          <w:tcPr>
            <w:tcW w:type="dxa" w:w="1694"/>
            <w:vAlign w:val="center"/>
            <w:shd w:fill="FFFFFF"/>
          </w:tcPr>
          <w:p>
            <w:pPr>
              <w:spacing w:after="60"/>
            </w:pPr>
            <w:r>
              <w:rPr>
                <w:b w:val="0"/>
                <w:i w:val="0"/>
                <w:sz w:val="22"/>
              </w:rPr>
              <w:t>Chasmanthium latifolium</w:t>
            </w:r>
          </w:p>
        </w:tc>
        <w:tc>
          <w:tcPr>
            <w:tcW w:type="dxa" w:w="1694"/>
            <w:vAlign w:val="center"/>
            <w:shd w:fill="FFFFFF"/>
          </w:tcPr>
          <w:p>
            <w:pPr>
              <w:spacing w:after="60"/>
            </w:pPr>
            <w:r>
              <w:rPr>
                <w:b w:val="0"/>
                <w:i w:val="0"/>
                <w:sz w:val="22"/>
              </w:rPr>
              <w:t>2–4 ft</w:t>
            </w:r>
          </w:p>
        </w:tc>
        <w:tc>
          <w:tcPr>
            <w:tcW w:type="dxa" w:w="1694"/>
            <w:vAlign w:val="center"/>
            <w:shd w:fill="FFFFFF"/>
          </w:tcPr>
          <w:p>
            <w:pPr>
              <w:spacing w:after="60"/>
            </w:pPr>
            <w:r>
              <w:rPr>
                <w:b w:val="0"/>
                <w:i w:val="0"/>
                <w:sz w:val="22"/>
              </w:rPr>
              <w:t>Part shade</w:t>
            </w:r>
          </w:p>
        </w:tc>
        <w:tc>
          <w:tcPr>
            <w:tcW w:type="dxa" w:w="1694"/>
            <w:vAlign w:val="center"/>
            <w:shd w:fill="FFFFFF"/>
          </w:tcPr>
          <w:p>
            <w:pPr>
              <w:spacing w:after="60"/>
            </w:pPr>
            <w:r>
              <w:rPr>
                <w:b w:val="0"/>
                <w:i w:val="0"/>
                <w:sz w:val="22"/>
              </w:rPr>
              <w:t>Medium–moist</w:t>
            </w:r>
          </w:p>
        </w:tc>
        <w:tc>
          <w:tcPr>
            <w:tcW w:type="dxa" w:w="1694"/>
            <w:vAlign w:val="center"/>
            <w:shd w:fill="FFFFFF"/>
          </w:tcPr>
          <w:p>
            <w:pPr>
              <w:spacing w:after="60"/>
            </w:pPr>
            <w:r>
              <w:rPr>
                <w:b w:val="0"/>
                <w:i w:val="0"/>
                <w:sz w:val="22"/>
              </w:rPr>
              <w:t>Woodland-edge grass; self-seeds readily.</w:t>
            </w:r>
          </w:p>
        </w:tc>
      </w:tr>
    </w:tbl>
    <w:p>
      <w:pPr>
        <w:spacing w:after="20"/>
      </w:pPr>
    </w:p>
    <w:p>
      <w:pPr>
        <w:pStyle w:val="Heading2"/>
      </w:pPr>
      <w:r>
        <w:t>Planting &amp; Establishment</w:t>
      </w:r>
    </w:p>
    <w:p>
      <w:pPr>
        <w:pStyle w:val="ListBullet"/>
      </w:pPr>
      <w:r>
        <w:rPr>
          <w:b w:val="0"/>
          <w:i w:val="0"/>
        </w:rPr>
        <w:t>Remove perennial weeds before planting. Weed competition is one of the biggest establishment problems.</w:t>
      </w:r>
    </w:p>
    <w:p>
      <w:pPr>
        <w:pStyle w:val="ListBullet"/>
      </w:pPr>
      <w:r>
        <w:rPr>
          <w:b w:val="0"/>
          <w:i w:val="0"/>
        </w:rPr>
        <w:t>Plant the crown at the same depth it grew previously. Do not bury the crown.</w:t>
      </w:r>
    </w:p>
    <w:p>
      <w:pPr>
        <w:pStyle w:val="ListBullet"/>
      </w:pPr>
      <w:r>
        <w:rPr>
          <w:b w:val="0"/>
          <w:i w:val="0"/>
        </w:rPr>
        <w:t>Space for mature width rather than immediate fullness.</w:t>
      </w:r>
    </w:p>
    <w:p>
      <w:pPr>
        <w:pStyle w:val="ListBullet"/>
      </w:pPr>
      <w:r>
        <w:rPr>
          <w:b w:val="0"/>
          <w:i w:val="0"/>
        </w:rPr>
        <w:t>Water deeply after planting. Keep the root zone evenly moist during establishment, but not waterlogged.</w:t>
      </w:r>
    </w:p>
    <w:p>
      <w:pPr>
        <w:pStyle w:val="ListBullet"/>
      </w:pPr>
      <w:r>
        <w:rPr>
          <w:b w:val="0"/>
          <w:i w:val="0"/>
        </w:rPr>
        <w:t>Once established, reduce irrigation according to the species and site.</w:t>
      </w:r>
    </w:p>
    <w:p>
      <w:pPr>
        <w:pStyle w:val="Heading2"/>
      </w:pPr>
      <w:r>
        <w:t>Flowering &amp; Seed Heads</w:t>
      </w:r>
    </w:p>
    <w:p>
      <w:r>
        <w:rPr>
          <w:b w:val="0"/>
          <w:i w:val="0"/>
        </w:rPr>
        <w:t>Grass flowers are small and wind-pollinated. Their inflorescences and seeds become major ornamental and ecological features. Many species retain attractive seed heads well into winter.</w:t>
      </w:r>
    </w:p>
    <w:p>
      <w:pPr>
        <w:pStyle w:val="Heading2"/>
      </w:pPr>
      <w:r>
        <w:t>Maintenance</w:t>
      </w:r>
    </w:p>
    <w:p>
      <w:pPr>
        <w:pStyle w:val="ListBullet"/>
      </w:pPr>
      <w:r>
        <w:rPr>
          <w:b w:val="0"/>
          <w:i w:val="0"/>
        </w:rPr>
        <w:t>Do not routinely fertilize established prairie grasses.</w:t>
      </w:r>
    </w:p>
    <w:p>
      <w:pPr>
        <w:pStyle w:val="ListBullet"/>
      </w:pPr>
      <w:r>
        <w:rPr>
          <w:b w:val="0"/>
          <w:i w:val="0"/>
        </w:rPr>
        <w:t>Leave stems and seed heads standing through winter whenever practical.</w:t>
      </w:r>
    </w:p>
    <w:p>
      <w:pPr>
        <w:pStyle w:val="ListBullet"/>
      </w:pPr>
      <w:r>
        <w:rPr>
          <w:b w:val="0"/>
          <w:i w:val="0"/>
        </w:rPr>
        <w:t>Cut back in late winter or early spring before vigorous new growth begins; roughly 6–12 inches is suitable for many landscape grasses.</w:t>
      </w:r>
    </w:p>
    <w:p>
      <w:pPr>
        <w:pStyle w:val="ListBullet"/>
      </w:pPr>
      <w:r>
        <w:rPr>
          <w:b w:val="0"/>
          <w:i w:val="0"/>
        </w:rPr>
        <w:t>Divide oversized clumps when they crowd neighboring plants.</w:t>
      </w:r>
    </w:p>
    <w:p>
      <w:pPr>
        <w:pStyle w:val="ListBullet"/>
      </w:pPr>
      <w:r>
        <w:rPr>
          <w:b w:val="0"/>
          <w:i w:val="0"/>
        </w:rPr>
        <w:t>Watch for seedlings where self-seeding species such as river oats are used.</w:t>
      </w:r>
    </w:p>
    <w:p>
      <w:pPr>
        <w:pStyle w:val="Heading2"/>
      </w:pPr>
      <w:r>
        <w:t>Common Problems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SYMPTOM</w:t>
            </w:r>
          </w:p>
        </w:tc>
        <w:tc>
          <w:tcPr>
            <w:tcW w:type="dxa" w:w="3389"/>
            <w:vAlign w:val="center"/>
            <w:shd w:fill="E9EDF0"/>
          </w:tcPr>
          <w:p>
            <w:pPr>
              <w:spacing w:after="60"/>
            </w:pPr>
            <w:r>
              <w:rPr>
                <w:b/>
                <w:i w:val="0"/>
                <w:sz w:val="22"/>
              </w:rPr>
              <w:t>LIKELY CAUSE</w:t>
            </w:r>
          </w:p>
        </w:tc>
        <w:tc>
          <w:tcPr>
            <w:tcW w:type="dxa" w:w="3389"/>
            <w:vAlign w:val="center"/>
            <w:shd w:fill="E9EDF0"/>
          </w:tcPr>
          <w:p>
            <w:pPr>
              <w:spacing w:after="60"/>
            </w:pPr>
            <w:r>
              <w:rPr>
                <w:b/>
                <w:i w:val="0"/>
                <w:sz w:val="22"/>
              </w:rPr>
              <w:t>CORRECTIVE ACTION</w:t>
            </w:r>
          </w:p>
        </w:tc>
      </w:tr>
      <w:tr>
        <w:trPr>
          <w:cantSplit/>
        </w:trPr>
        <w:tc>
          <w:tcPr>
            <w:tcW w:type="dxa" w:w="3389"/>
            <w:vAlign w:val="center"/>
            <w:shd w:fill="FFFFFF"/>
          </w:tcPr>
          <w:p>
            <w:pPr>
              <w:spacing w:after="60"/>
            </w:pPr>
            <w:r>
              <w:rPr>
                <w:b/>
                <w:i w:val="0"/>
                <w:sz w:val="22"/>
              </w:rPr>
              <w:t>Flopping</w:t>
            </w:r>
          </w:p>
        </w:tc>
        <w:tc>
          <w:tcPr>
            <w:tcW w:type="dxa" w:w="3389"/>
            <w:vAlign w:val="center"/>
            <w:shd w:fill="FFFFFF"/>
          </w:tcPr>
          <w:p>
            <w:pPr>
              <w:spacing w:after="60"/>
            </w:pPr>
            <w:r>
              <w:rPr>
                <w:b w:val="0"/>
                <w:i w:val="0"/>
                <w:sz w:val="22"/>
              </w:rPr>
              <w:t>Too much nitrogen, too much shade, or overly rich/moist conditions</w:t>
            </w:r>
          </w:p>
        </w:tc>
        <w:tc>
          <w:tcPr>
            <w:tcW w:type="dxa" w:w="3389"/>
            <w:vAlign w:val="center"/>
            <w:shd w:fill="FFFFFF"/>
          </w:tcPr>
          <w:p>
            <w:pPr>
              <w:spacing w:after="60"/>
            </w:pPr>
            <w:r>
              <w:rPr>
                <w:b w:val="0"/>
                <w:i w:val="0"/>
                <w:sz w:val="22"/>
              </w:rPr>
              <w:t>Stop fertilizing; increase light; select a shorter or more site-appropriate species.</w:t>
            </w:r>
          </w:p>
        </w:tc>
      </w:tr>
      <w:tr>
        <w:trPr>
          <w:cantSplit/>
        </w:trPr>
        <w:tc>
          <w:tcPr>
            <w:tcW w:type="dxa" w:w="3389"/>
            <w:vAlign w:val="center"/>
            <w:shd w:fill="FFFFFF"/>
          </w:tcPr>
          <w:p>
            <w:pPr>
              <w:spacing w:after="60"/>
            </w:pPr>
            <w:r>
              <w:rPr>
                <w:b/>
                <w:i w:val="0"/>
                <w:sz w:val="22"/>
              </w:rPr>
              <w:t>Weak growth</w:t>
            </w:r>
          </w:p>
        </w:tc>
        <w:tc>
          <w:tcPr>
            <w:tcW w:type="dxa" w:w="3389"/>
            <w:vAlign w:val="center"/>
            <w:shd w:fill="FFFFFF"/>
          </w:tcPr>
          <w:p>
            <w:pPr>
              <w:spacing w:after="60"/>
            </w:pPr>
            <w:r>
              <w:rPr>
                <w:b w:val="0"/>
                <w:i w:val="0"/>
                <w:sz w:val="22"/>
              </w:rPr>
              <w:t>Insufficient sun or heavy competition</w:t>
            </w:r>
          </w:p>
        </w:tc>
        <w:tc>
          <w:tcPr>
            <w:tcW w:type="dxa" w:w="3389"/>
            <w:vAlign w:val="center"/>
            <w:shd w:fill="FFFFFF"/>
          </w:tcPr>
          <w:p>
            <w:pPr>
              <w:spacing w:after="60"/>
            </w:pPr>
            <w:r>
              <w:rPr>
                <w:b w:val="0"/>
                <w:i w:val="0"/>
                <w:sz w:val="22"/>
              </w:rPr>
              <w:t>Improve light or move to a species suited to shade; control weeds.</w:t>
            </w:r>
          </w:p>
        </w:tc>
      </w:tr>
      <w:tr>
        <w:trPr>
          <w:cantSplit/>
        </w:trPr>
        <w:tc>
          <w:tcPr>
            <w:tcW w:type="dxa" w:w="3389"/>
            <w:vAlign w:val="center"/>
            <w:shd w:fill="FFFFFF"/>
          </w:tcPr>
          <w:p>
            <w:pPr>
              <w:spacing w:after="60"/>
            </w:pPr>
            <w:r>
              <w:rPr>
                <w:b/>
                <w:i w:val="0"/>
                <w:sz w:val="22"/>
              </w:rPr>
              <w:t>Crown/root decline</w:t>
            </w:r>
          </w:p>
        </w:tc>
        <w:tc>
          <w:tcPr>
            <w:tcW w:type="dxa" w:w="3389"/>
            <w:vAlign w:val="center"/>
            <w:shd w:fill="FFFFFF"/>
          </w:tcPr>
          <w:p>
            <w:pPr>
              <w:spacing w:after="60"/>
            </w:pPr>
            <w:r>
              <w:rPr>
                <w:b w:val="0"/>
                <w:i w:val="0"/>
                <w:sz w:val="22"/>
              </w:rPr>
              <w:t>Dry-site species in persistently wet soil</w:t>
            </w:r>
          </w:p>
        </w:tc>
        <w:tc>
          <w:tcPr>
            <w:tcW w:type="dxa" w:w="3389"/>
            <w:vAlign w:val="center"/>
            <w:shd w:fill="FFFFFF"/>
          </w:tcPr>
          <w:p>
            <w:pPr>
              <w:spacing w:after="60"/>
            </w:pPr>
            <w:r>
              <w:rPr>
                <w:b w:val="0"/>
                <w:i w:val="0"/>
                <w:sz w:val="22"/>
              </w:rPr>
              <w:t>Improve drainage or replace with a moisture-tolerant native grass.</w:t>
            </w:r>
          </w:p>
        </w:tc>
      </w:tr>
      <w:tr>
        <w:trPr>
          <w:cantSplit/>
        </w:trPr>
        <w:tc>
          <w:tcPr>
            <w:tcW w:type="dxa" w:w="3389"/>
            <w:vAlign w:val="center"/>
            <w:shd w:fill="FFFFFF"/>
          </w:tcPr>
          <w:p>
            <w:pPr>
              <w:spacing w:after="60"/>
            </w:pPr>
            <w:r>
              <w:rPr>
                <w:b/>
                <w:i w:val="0"/>
                <w:sz w:val="22"/>
              </w:rPr>
              <w:t>Too many seedlings</w:t>
            </w:r>
          </w:p>
        </w:tc>
        <w:tc>
          <w:tcPr>
            <w:tcW w:type="dxa" w:w="3389"/>
            <w:vAlign w:val="center"/>
            <w:shd w:fill="FFFFFF"/>
          </w:tcPr>
          <w:p>
            <w:pPr>
              <w:spacing w:after="60"/>
            </w:pPr>
            <w:r>
              <w:rPr>
                <w:b w:val="0"/>
                <w:i w:val="0"/>
                <w:sz w:val="22"/>
              </w:rPr>
              <w:t>Freely self-seeding species</w:t>
            </w:r>
          </w:p>
        </w:tc>
        <w:tc>
          <w:tcPr>
            <w:tcW w:type="dxa" w:w="3389"/>
            <w:vAlign w:val="center"/>
            <w:shd w:fill="FFFFFF"/>
          </w:tcPr>
          <w:p>
            <w:pPr>
              <w:spacing w:after="60"/>
            </w:pPr>
            <w:r>
              <w:rPr>
                <w:b w:val="0"/>
                <w:i w:val="0"/>
                <w:sz w:val="22"/>
              </w:rPr>
              <w:t>Remove seed heads before seed ripens or thin seedlings.</w:t>
            </w:r>
          </w:p>
        </w:tc>
      </w:tr>
    </w:tbl>
    <w:p>
      <w:pPr>
        <w:spacing w:after="20"/>
      </w:pPr>
    </w:p>
    <w:p>
      <w:pPr>
        <w:pStyle w:val="Heading2"/>
      </w:pPr>
      <w:r>
        <w:t>Environment / Native Habitat</w:t>
      </w:r>
    </w:p>
    <w:p>
      <w:r>
        <w:rPr>
          <w:b w:val="0"/>
          <w:i w:val="0"/>
        </w:rPr>
        <w:t>Indiana native grasses occur in prairie, savanna, woodland edge, wetland, floodplain, and riparian habitats. Prairie grasses evolved with recurring disturbance—especially fire, grazing, drought, and seasonal temperature extremes. Deep root systems and basal growing points help many species recover after loss of above-ground foliage.</w:t>
      </w:r>
    </w:p>
    <w:p>
      <w:pPr>
        <w:pStyle w:val="Heading2"/>
      </w:pPr>
      <w:r>
        <w:t>Ecological Value</w:t>
      </w:r>
    </w:p>
    <w:p>
      <w:pPr>
        <w:pStyle w:val="ListBullet"/>
      </w:pPr>
      <w:r>
        <w:rPr>
          <w:b w:val="0"/>
          <w:i w:val="0"/>
        </w:rPr>
        <w:t>Fibrous and deep roots stabilize soil and improve water infiltration.</w:t>
      </w:r>
    </w:p>
    <w:p>
      <w:pPr>
        <w:pStyle w:val="ListBullet"/>
      </w:pPr>
      <w:r>
        <w:rPr>
          <w:b w:val="0"/>
          <w:i w:val="0"/>
        </w:rPr>
        <w:t>Seeds and standing vegetation provide food and cover for wildlife.</w:t>
      </w:r>
    </w:p>
    <w:p>
      <w:pPr>
        <w:pStyle w:val="ListBullet"/>
      </w:pPr>
      <w:r>
        <w:rPr>
          <w:b w:val="0"/>
          <w:i w:val="0"/>
        </w:rPr>
        <w:t>Stems, leaf litter, and crowns provide overwintering habitat for insects.</w:t>
      </w:r>
    </w:p>
    <w:p>
      <w:pPr>
        <w:pStyle w:val="ListBullet"/>
      </w:pPr>
      <w:r>
        <w:rPr>
          <w:b w:val="0"/>
          <w:i w:val="0"/>
        </w:rPr>
        <w:t>Native grasses combine especially well with native flowering perennials, creating layered habitat through the growing season.</w:t>
      </w:r>
    </w:p>
    <w:p>
      <w:pPr>
        <w:pStyle w:val="Heading2"/>
      </w:pPr>
      <w:r>
        <w:t>Design Rule</w:t>
      </w:r>
    </w:p>
    <w:p>
      <w:r>
        <w:rPr>
          <w:b/>
          <w:i w:val="0"/>
        </w:rPr>
        <w:t xml:space="preserve">Use grasses in repeated groups or drifts, not as random isolated plants. </w:t>
      </w:r>
      <w:r>
        <w:t>Place tall species toward the back of beds and shorter bunch grasses near paths. Leave enough room for their mature width and winter form.</w:t>
      </w:r>
    </w:p>
    <w:p>
      <w:pPr>
        <w:pStyle w:val="Heading2"/>
      </w:pPr>
      <w:r>
        <w:t>References &amp; Photo Note</w:t>
      </w:r>
    </w:p>
    <w:p>
      <w:r>
        <w:rPr>
          <w:b w:val="0"/>
          <w:i w:val="0"/>
        </w:rPr>
        <w:t>Plant-selection guidance should be checked against Purdue Extension and regional native-plant references for the exact site. The finished public version should use credited open-license photographs of the selected species and Indiana/Lower Midwest native habitat.</w:t>
      </w:r>
    </w:p>
    <w:p>
      <w:pPr>
        <w:pStyle w:val="Heading2"/>
      </w:pPr>
      <w:r>
        <w:t>Plant Education Project</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Group-level guidance</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County herbarium occurrence verified for all seven listed species. Evidence for historical local nativity varies; see the species-level evidence below. Restoration records alone do not prove nativity.</w:t>
            </w:r>
          </w:p>
        </w:tc>
      </w:tr>
      <w:tr>
        <w:trPr>
          <w:cantSplit/>
        </w:trPr>
        <w:tc>
          <w:tcPr>
            <w:tcW w:type="dxa" w:w="5083"/>
            <w:vAlign w:val="center"/>
            <w:shd w:fill="FFFFFF"/>
          </w:tcPr>
          <w:p>
            <w:pPr>
              <w:spacing w:after="60"/>
            </w:pPr>
            <w:r>
              <w:rPr>
                <w:b/>
                <w:i w:val="0"/>
                <w:sz w:val="22"/>
              </w:rPr>
              <w:t>United States native</w:t>
            </w:r>
          </w:p>
        </w:tc>
        <w:tc>
          <w:tcPr>
            <w:tcW w:type="dxa" w:w="5083"/>
            <w:vAlign w:val="center"/>
            <w:shd w:fill="FFFFFF"/>
          </w:tcPr>
          <w:p>
            <w:pPr>
              <w:spacing w:after="60"/>
            </w:pPr>
            <w:r>
              <w:rPr>
                <w:b w:val="0"/>
                <w:i w:val="0"/>
                <w:sz w:val="22"/>
              </w:rPr>
              <w:t>Yes for the listed native-grass species; county nativity is a separate question.</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Species and site dependent. Spreading by seed or rhizomes can require garden management even in native species.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to Yes; species, flowering, seed production and available bare ground determine volunteers.</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Not a food guide. Do not eat unidentified grasses; blades may cut skin and pollen may aggravate allergies.</w:t>
            </w:r>
          </w:p>
        </w:tc>
      </w:tr>
    </w:tbl>
    <w:p>
      <w:pPr>
        <w:spacing w:after="20"/>
      </w:pPr>
    </w:p>
    <w:p>
      <w:pPr>
        <w:pStyle w:val="Heading2"/>
      </w:pPr>
      <w:r>
        <w:t>Full Standard mix for containers</w:t>
      </w:r>
    </w:p>
    <w:p>
      <w:r>
        <w:rPr>
          <w:b w:val="0"/>
          <w:i w:val="0"/>
        </w:rPr>
        <w:t>Prairie Standard Mix: 2 parts generic potting soil + 1 part coarse perlite + 1 part granite chicken grit, by volume. Woodland species may instead use Native Forest Standard Mix: 2 parts generic potting soil + 1 part compost-rich raised-bed/in-ground soil ingredient + 1 part coarse perlite, by volume. Outdoor planting should match existing site soil; do not replace a whole bed with potting mix.</w:t>
      </w:r>
    </w:p>
    <w:p>
      <w:pPr>
        <w:pStyle w:val="Heading2"/>
      </w:pPr>
      <w:r>
        <w:t>Propagation and flowering</w:t>
      </w:r>
    </w:p>
    <w:p>
      <w:r>
        <w:rPr>
          <w:b w:val="0"/>
          <w:i w:val="0"/>
        </w:rPr>
        <w:t>Use species-appropriate seed treatment or divide established clumps. Grasses have small wind-pollinated flowers followed by seed heads. Preserve useful winter structure and remove unwanted seedlings. Species identification determines flowering season, moisture needs and treatment before sowing.</w:t>
      </w:r>
    </w:p>
    <w:p>
      <w:pPr>
        <w:pStyle w:val="Heading2"/>
      </w:pPr>
      <w:r>
        <w:t>Tippecanoe County evidence by species</w:t>
      </w:r>
    </w:p>
    <w:p>
      <w:r>
        <w:rPr>
          <w:b w:val="0"/>
          <w:i w:val="0"/>
        </w:rPr>
        <w:t>The following preserved-specimen records were retrieved from GBIF on 2026-09-19. The underlying collections are Indiana University Herbarium (IND) and the Robert F. Hoover Herbarium (OBI). Native status is an interpretation of evidence and regional range, not a synonym for any county occurrence. Records below were selected to distinguish natural settings from restoration plantings; absent establishment-status fields remain a limitation.</w:t>
      </w:r>
    </w:p>
    <w:p>
      <w:pPr>
        <w:pStyle w:val="Heading2"/>
      </w:pPr>
      <w:r>
        <w:t>Little bluestem</w:t>
      </w:r>
    </w:p>
    <w:p>
      <w:r>
        <w:rPr>
          <w:b w:val="0"/>
          <w:i w:val="0"/>
        </w:rPr>
        <w:t>Schizachyrium scoparium. 1928-09-22; IND-0039230; wooded bank of Big Wea Creek. Historical natural-setting occurrence supports local nativity.</w:t>
      </w:r>
    </w:p>
    <w:p>
      <w:hyperlink r:id="rId12">
        <w:r>
          <w:rPr>
            <w:color w:val="245B43"/>
            <w:u w:val="single"/>
          </w:rPr>
          <w:t>Specimen record and full locality</w:t>
        </w:r>
      </w:hyperlink>
    </w:p>
    <w:p>
      <w:pPr>
        <w:pStyle w:val="Heading2"/>
      </w:pPr>
      <w:r>
        <w:t>Big bluestem</w:t>
      </w:r>
    </w:p>
    <w:p>
      <w:r>
        <w:rPr>
          <w:b w:val="0"/>
          <w:i w:val="0"/>
        </w:rPr>
        <w:t>Andropogon gerardii. 1980-09-01; OBI171399; prairie along railroad near Montmorenci. Historical prairie record supports local nativity.</w:t>
      </w:r>
    </w:p>
    <w:p>
      <w:hyperlink r:id="rId13">
        <w:r>
          <w:rPr>
            <w:color w:val="245B43"/>
            <w:u w:val="single"/>
          </w:rPr>
          <w:t>Specimen record and full locality</w:t>
        </w:r>
      </w:hyperlink>
    </w:p>
    <w:p>
      <w:pPr>
        <w:pStyle w:val="Heading2"/>
      </w:pPr>
      <w:r>
        <w:t>Indiangrass</w:t>
      </w:r>
    </w:p>
    <w:p>
      <w:r>
        <w:rPr>
          <w:b w:val="0"/>
          <w:i w:val="0"/>
        </w:rPr>
        <w:t>Sorghastrum nutans. 2023-09-13; IND-0165106; Wea Creek Gravel Hill Prairie. Prairie occurrence supports local nativity; older county records also exist.</w:t>
      </w:r>
    </w:p>
    <w:p>
      <w:hyperlink r:id="rId14">
        <w:r>
          <w:rPr>
            <w:color w:val="245B43"/>
            <w:u w:val="single"/>
          </w:rPr>
          <w:t>Specimen record and full locality</w:t>
        </w:r>
      </w:hyperlink>
    </w:p>
    <w:p>
      <w:pPr>
        <w:pStyle w:val="Heading2"/>
      </w:pPr>
      <w:r>
        <w:t>Switchgrass</w:t>
      </w:r>
    </w:p>
    <w:p>
      <w:r>
        <w:rPr>
          <w:b w:val="0"/>
          <w:i w:val="0"/>
        </w:rPr>
        <w:t>Panicum virgatum. 1915-07-20; IND-0038074; roadside southeast of Lafayette. Historical county occurrence verified; origin of that roadside population is not stated.</w:t>
      </w:r>
    </w:p>
    <w:p>
      <w:hyperlink r:id="rId15">
        <w:r>
          <w:rPr>
            <w:color w:val="245B43"/>
            <w:u w:val="single"/>
          </w:rPr>
          <w:t>Specimen record and full locality</w:t>
        </w:r>
      </w:hyperlink>
    </w:p>
    <w:p>
      <w:pPr>
        <w:pStyle w:val="Heading2"/>
      </w:pPr>
      <w:r>
        <w:t>Prairie dropseed</w:t>
      </w:r>
    </w:p>
    <w:p>
      <w:r>
        <w:rPr>
          <w:b w:val="0"/>
          <w:i w:val="0"/>
        </w:rPr>
        <w:t>Sporobolus heterolepis. 2024-10-24; IND collection; Lookout Point gravel hill prairie. County occurrence verified in prairie; establishment history not explicitly recorded.</w:t>
      </w:r>
    </w:p>
    <w:p>
      <w:hyperlink r:id="rId16">
        <w:r>
          <w:rPr>
            <w:color w:val="245B43"/>
            <w:u w:val="single"/>
          </w:rPr>
          <w:t>Specimen record and full locality</w:t>
        </w:r>
      </w:hyperlink>
    </w:p>
    <w:p>
      <w:pPr>
        <w:pStyle w:val="Heading2"/>
      </w:pPr>
      <w:r>
        <w:t>Sideoats grama</w:t>
      </w:r>
    </w:p>
    <w:p>
      <w:r>
        <w:rPr>
          <w:b w:val="0"/>
          <w:i w:val="0"/>
        </w:rPr>
        <w:t>Bouteloua curtipendula. 1927-09-23; IND-0027340; sandy gravelly bluff, Big Wea Creek. Historical natural-setting occurrence supports local nativity.</w:t>
      </w:r>
    </w:p>
    <w:p>
      <w:hyperlink r:id="rId17">
        <w:r>
          <w:rPr>
            <w:color w:val="245B43"/>
            <w:u w:val="single"/>
          </w:rPr>
          <w:t>Specimen record and full locality</w:t>
        </w:r>
      </w:hyperlink>
    </w:p>
    <w:p>
      <w:pPr>
        <w:pStyle w:val="Heading2"/>
      </w:pPr>
      <w:r>
        <w:t>River oats</w:t>
      </w:r>
    </w:p>
    <w:p>
      <w:r>
        <w:rPr>
          <w:b w:val="0"/>
          <w:i w:val="0"/>
        </w:rPr>
        <w:t>Chasmanthium latifolium. 2024-09-28; IND collection; Wabash River bank at Tecumseh Trails Park. County occurrence verified; historical local nativity still requires corroboration.</w:t>
      </w:r>
    </w:p>
    <w:p>
      <w:hyperlink r:id="rId18">
        <w:r>
          <w:rPr>
            <w:color w:val="245B43"/>
            <w:u w:val="single"/>
          </w:rPr>
          <w:t>Specimen record and full locality</w:t>
        </w:r>
      </w:hyperlink>
    </w:p>
    <w:p>
      <w:r>
        <w:rPr>
          <w:b w:val="0"/>
          <w:i w:val="0"/>
        </w:rPr>
        <w:t xml:space="preserve">Added September 22, 2026 · </w:t>
      </w:r>
      <w:hyperlink r:id="rId19">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outdoor-native-grasses/" TargetMode="External"/><Relationship Id="rId12" Type="http://schemas.openxmlformats.org/officeDocument/2006/relationships/hyperlink" Target="https://www.gbif.org/occurrence/5070608925" TargetMode="External"/><Relationship Id="rId13" Type="http://schemas.openxmlformats.org/officeDocument/2006/relationships/hyperlink" Target="https://www.gbif.org/occurrence/2459767006" TargetMode="External"/><Relationship Id="rId14" Type="http://schemas.openxmlformats.org/officeDocument/2006/relationships/hyperlink" Target="https://www.gbif.org/occurrence/5070736289" TargetMode="External"/><Relationship Id="rId15" Type="http://schemas.openxmlformats.org/officeDocument/2006/relationships/hyperlink" Target="https://www.gbif.org/occurrence/5070612405" TargetMode="External"/><Relationship Id="rId16" Type="http://schemas.openxmlformats.org/officeDocument/2006/relationships/hyperlink" Target="https://www.gbif.org/occurrence/5900743035" TargetMode="External"/><Relationship Id="rId17" Type="http://schemas.openxmlformats.org/officeDocument/2006/relationships/hyperlink" Target="https://www.gbif.org/occurrence/5070601638" TargetMode="External"/><Relationship Id="rId18" Type="http://schemas.openxmlformats.org/officeDocument/2006/relationships/hyperlink" Target="https://www.gbif.org/occurrence/5900742639" TargetMode="External"/><Relationship Id="rId19" Type="http://schemas.openxmlformats.org/officeDocument/2006/relationships/hyperlink" Target="https://planteducationproject.com/information-sheets/master-index/" TargetMode="External"/><Relationship Id="rId20"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outdoor native grasses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