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Neem Oil</w:t>
      </w:r>
    </w:p>
    <w:p>
      <w:pPr>
        <w:spacing w:after="320"/>
      </w:pPr>
      <w:r>
        <w:t>Combined Information Sheets</w:t>
      </w:r>
    </w:p>
    <w:p>
      <w:pPr>
        <w:pStyle w:val="Heading1"/>
      </w:pPr>
      <w:r>
        <w:t>Neem Oil</w:t>
      </w:r>
    </w:p>
    <w:p>
      <w:r>
        <w:rPr>
          <w:b/>
        </w:rPr>
        <w:t xml:space="preserve">Online Information Sheet: </w:t>
      </w:r>
      <w:hyperlink r:id="rId11">
        <w:r>
          <w:rPr>
            <w:color w:val="245B43"/>
            <w:u w:val="single"/>
          </w:rPr>
          <w:t>planteducationproject.com/guides/neem-oil/</w:t>
        </w:r>
      </w:hyperlink>
    </w:p>
    <w:p>
      <w:r>
        <w:rPr>
          <w:b w:val="0"/>
          <w:i w:val="0"/>
        </w:rPr>
        <w:t>🌿 Information Sheet</w:t>
      </w:r>
    </w:p>
    <w:p>
      <w:r>
        <w:rPr>
          <w:b w:val="0"/>
          <w:i w:val="0"/>
        </w:rPr>
        <w:t>Neem products are not interchangeable. Clarified hydrophobic neem oil acts mainly through contact, while products containing azadirachtin can disrupt insect feeding and development. The pest, formulation, plant, and permitted application method determine whether a treatment is sensible.</w:t>
      </w:r>
    </w:p>
    <w:p>
      <w:pPr>
        <w:pStyle w:val="Heading2"/>
      </w:pPr>
      <w:r>
        <w:t>Identify the active ingredient before using the product</w:t>
      </w:r>
    </w:p>
    <w:p>
      <w:r>
        <w:rPr>
          <w:b w:val="0"/>
          <w:i w:val="0"/>
        </w:rPr>
        <w:t>Neem oil is derived from seeds of Azadirachta indica. Processing can separate azadirachtin from the oil fraction. Read the active ingredients and directions rather than assuming that any product called neem has the same concentration, mechanism, or permitted use.</w:t>
      </w:r>
    </w:p>
    <w:p>
      <w:r>
        <w:rPr>
          <w:b w:val="0"/>
          <w:i w:val="0"/>
        </w:rPr>
        <w:t>The label is the law for registered pesticides. Its crop or ornamental use, indoor or outdoor site, application method, dose, interval, protective measures, and restrictions govern use. A pesticide label statement should not be generalized into a claim that every fertilizer label has the same federal legal status.</w:t>
      </w:r>
    </w:p>
    <w:p>
      <w:pPr>
        <w:pStyle w:val="Heading2"/>
      </w:pPr>
      <w:r>
        <w:t>Evidence differs among the requested pests</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val="0"/>
                <w:sz w:val="22"/>
              </w:rPr>
              <w:t>Pest</w:t>
            </w:r>
          </w:p>
        </w:tc>
        <w:tc>
          <w:tcPr>
            <w:tcW w:type="dxa" w:w="3389"/>
            <w:vAlign w:val="center"/>
            <w:shd w:fill="E9EDF0"/>
          </w:tcPr>
          <w:p>
            <w:pPr>
              <w:spacing w:after="60"/>
            </w:pPr>
            <w:r>
              <w:rPr>
                <w:b/>
                <w:i w:val="0"/>
                <w:sz w:val="22"/>
              </w:rPr>
              <w:t>What neem may do</w:t>
            </w:r>
          </w:p>
        </w:tc>
        <w:tc>
          <w:tcPr>
            <w:tcW w:type="dxa" w:w="3389"/>
            <w:vAlign w:val="center"/>
            <w:shd w:fill="E9EDF0"/>
          </w:tcPr>
          <w:p>
            <w:pPr>
              <w:spacing w:after="60"/>
            </w:pPr>
            <w:r>
              <w:rPr>
                <w:b/>
                <w:i w:val="0"/>
                <w:sz w:val="22"/>
              </w:rPr>
              <w:t>What to do first</w:t>
            </w:r>
          </w:p>
        </w:tc>
      </w:tr>
      <w:tr>
        <w:trPr>
          <w:cantSplit/>
        </w:trPr>
        <w:tc>
          <w:tcPr>
            <w:tcW w:type="dxa" w:w="3389"/>
            <w:vAlign w:val="center"/>
            <w:shd w:fill="FFFFFF"/>
          </w:tcPr>
          <w:p>
            <w:pPr>
              <w:spacing w:after="60"/>
            </w:pPr>
            <w:r>
              <w:rPr>
                <w:b/>
                <w:i w:val="0"/>
                <w:sz w:val="22"/>
              </w:rPr>
              <w:t>Mealybugs</w:t>
            </w:r>
          </w:p>
        </w:tc>
        <w:tc>
          <w:tcPr>
            <w:tcW w:type="dxa" w:w="3389"/>
            <w:vAlign w:val="center"/>
            <w:shd w:fill="FFFFFF"/>
          </w:tcPr>
          <w:p>
            <w:pPr>
              <w:spacing w:after="60"/>
            </w:pPr>
            <w:r>
              <w:rPr>
                <w:b w:val="0"/>
                <w:i w:val="0"/>
                <w:sz w:val="22"/>
              </w:rPr>
              <w:t>A labeled oil spray can suppress exposed individuals when coverage is thorough. Wax, hidden insects, and eggs limit success.</w:t>
            </w:r>
          </w:p>
        </w:tc>
        <w:tc>
          <w:tcPr>
            <w:tcW w:type="dxa" w:w="3389"/>
            <w:vAlign w:val="center"/>
            <w:shd w:fill="FFFFFF"/>
          </w:tcPr>
          <w:p>
            <w:pPr>
              <w:spacing w:after="60"/>
            </w:pPr>
            <w:r>
              <w:rPr>
                <w:b w:val="0"/>
                <w:i w:val="0"/>
                <w:sz w:val="22"/>
              </w:rPr>
              <w:t>Isolate; inspect leaf axils and roots; remove accessible insects and recheck repeatedly.</w:t>
            </w:r>
          </w:p>
        </w:tc>
      </w:tr>
      <w:tr>
        <w:trPr>
          <w:cantSplit/>
        </w:trPr>
        <w:tc>
          <w:tcPr>
            <w:tcW w:type="dxa" w:w="3389"/>
            <w:vAlign w:val="center"/>
            <w:shd w:fill="FFFFFF"/>
          </w:tcPr>
          <w:p>
            <w:pPr>
              <w:spacing w:after="60"/>
            </w:pPr>
            <w:r>
              <w:rPr>
                <w:b/>
                <w:i w:val="0"/>
                <w:sz w:val="22"/>
              </w:rPr>
              <w:t>Fungus gnats</w:t>
            </w:r>
          </w:p>
        </w:tc>
        <w:tc>
          <w:tcPr>
            <w:tcW w:type="dxa" w:w="3389"/>
            <w:vAlign w:val="center"/>
            <w:shd w:fill="FFFFFF"/>
          </w:tcPr>
          <w:p>
            <w:pPr>
              <w:spacing w:after="60"/>
            </w:pPr>
            <w:r>
              <w:rPr>
                <w:b w:val="0"/>
                <w:i w:val="0"/>
                <w:sz w:val="22"/>
              </w:rPr>
              <w:t>Some labeled azadirachtin drenches target larvae. A foliar neem spray is a poor match for larvae living in the medium.</w:t>
            </w:r>
          </w:p>
        </w:tc>
        <w:tc>
          <w:tcPr>
            <w:tcW w:type="dxa" w:w="3389"/>
            <w:vAlign w:val="center"/>
            <w:shd w:fill="FFFFFF"/>
          </w:tcPr>
          <w:p>
            <w:pPr>
              <w:spacing w:after="60"/>
            </w:pPr>
            <w:r>
              <w:rPr>
                <w:b w:val="0"/>
                <w:i w:val="0"/>
                <w:sz w:val="22"/>
              </w:rPr>
              <w:t>Reduce persistently wet conditions where the plant tolerates it; remove decaying material; monitor adults.</w:t>
            </w:r>
          </w:p>
        </w:tc>
      </w:tr>
      <w:tr>
        <w:trPr>
          <w:cantSplit/>
        </w:trPr>
        <w:tc>
          <w:tcPr>
            <w:tcW w:type="dxa" w:w="3389"/>
            <w:vAlign w:val="center"/>
            <w:shd w:fill="FFFFFF"/>
          </w:tcPr>
          <w:p>
            <w:pPr>
              <w:spacing w:after="60"/>
            </w:pPr>
            <w:r>
              <w:rPr>
                <w:b/>
                <w:i w:val="0"/>
                <w:sz w:val="22"/>
              </w:rPr>
              <w:t>Fruit flies</w:t>
            </w:r>
          </w:p>
        </w:tc>
        <w:tc>
          <w:tcPr>
            <w:tcW w:type="dxa" w:w="3389"/>
            <w:vAlign w:val="center"/>
            <w:shd w:fill="FFFFFF"/>
          </w:tcPr>
          <w:p>
            <w:pPr>
              <w:spacing w:after="60"/>
            </w:pPr>
            <w:r>
              <w:rPr>
                <w:b w:val="0"/>
                <w:i w:val="0"/>
                <w:sz w:val="22"/>
              </w:rPr>
              <w:t>Neem on potting mix does not address typical household fruit-fly breeding in fermenting produce or residues.</w:t>
            </w:r>
          </w:p>
        </w:tc>
        <w:tc>
          <w:tcPr>
            <w:tcW w:type="dxa" w:w="3389"/>
            <w:vAlign w:val="center"/>
            <w:shd w:fill="FFFFFF"/>
          </w:tcPr>
          <w:p>
            <w:pPr>
              <w:spacing w:after="60"/>
            </w:pPr>
            <w:r>
              <w:rPr>
                <w:b w:val="0"/>
                <w:i w:val="0"/>
                <w:sz w:val="22"/>
              </w:rPr>
              <w:t>Identify the fly and remove the actual breeding material; traps alone do not remove the source.</w:t>
            </w:r>
          </w:p>
        </w:tc>
      </w:tr>
    </w:tbl>
    <w:p>
      <w:pPr>
        <w:spacing w:after="20"/>
      </w:pPr>
    </w:p>
    <w:p>
      <w:pPr>
        <w:pStyle w:val="Heading2"/>
      </w:pPr>
      <w:r>
        <w:t>Match the treatment to the insect’s life stage</w:t>
      </w:r>
    </w:p>
    <w:p>
      <w:r>
        <w:rPr>
          <w:b w:val="0"/>
          <w:i w:val="0"/>
        </w:rPr>
        <w:t>Tiny dark flies around a pot are often fungus gnats, but drain flies and fruit flies require different source control. Sticky cards show adult activity; they do not identify every species or kill larvae in the root zone. Soil treatment without identification can expose the plant while missing the problem.</w:t>
      </w:r>
    </w:p>
    <w:p>
      <w:r>
        <w:rPr>
          <w:b w:val="0"/>
          <w:i w:val="0"/>
        </w:rPr>
        <w:t>For persistent fungus gnats, consider a product labeled for larval control with the appropriate active ingredient, such as Bacillus thuringiensis subsp. israelensis, or a suitable biological-control program. Follow its specific label and environmental requirements.</w:t>
      </w:r>
    </w:p>
    <w:p>
      <w:pPr>
        <w:pStyle w:val="Heading2"/>
      </w:pPr>
      <w:r>
        <w:t>Avoid injuring the plant and beneficial organisms</w:t>
      </w:r>
    </w:p>
    <w:p>
      <w:r>
        <w:rPr>
          <w:b w:val="0"/>
          <w:i w:val="0"/>
        </w:rPr>
        <w:t>Test a small area as directed before treating the whole plant. Oils can injure stressed or sensitive foliage and may be restricted during heat or around applications of sulfur or other incompatible products. Do not invent a universal dilution or combine household ingredients into a homemade pesticide recipe.</w:t>
      </w:r>
    </w:p>
    <w:p>
      <w:r>
        <w:rPr>
          <w:b w:val="0"/>
          <w:i w:val="0"/>
        </w:rPr>
        <w:t>Keep spray out of water bodies and off visiting pollinators. Natural origin does not establish safety. Store pesticides securely and do not ingest neem preparations.</w:t>
      </w:r>
    </w:p>
    <w:p>
      <w:pPr>
        <w:pStyle w:val="Heading2"/>
      </w:pPr>
      <w:r>
        <w:t>Neem oil mulch is not an established instruction</w:t>
      </w:r>
    </w:p>
    <w:p>
      <w:r>
        <w:rPr>
          <w:b w:val="0"/>
          <w:i w:val="0"/>
        </w:rPr>
        <w:t>The phrase needs clarification. Neem oil, neem seed cake, and a mulch layer are different materials and uses. Do not pour oil into a pot or treat a seed-cake amendment as equivalent to a registered pesticide. Identify the intended material and permitted use before acting.</w:t>
      </w:r>
    </w:p>
    <w:p>
      <w:pPr>
        <w:pStyle w:val="Heading2"/>
      </w:pPr>
      <w:r>
        <w:t>Related Information Sheets</w:t>
      </w:r>
    </w:p>
    <w:p>
      <w:hyperlink r:id="rId12">
        <w:r>
          <w:rPr>
            <w:color w:val="245B43"/>
            <w:u w:val="single"/>
          </w:rPr>
          <w:t>Plant Health Information Sheet - Plant Disease Diagnosis</w:t>
        </w:r>
      </w:hyperlink>
    </w:p>
    <w:p>
      <w:pPr>
        <w:pStyle w:val="Heading2"/>
      </w:pPr>
      <w:r>
        <w:t>Sources and further reading</w:t>
      </w:r>
    </w:p>
    <w:p>
      <w:hyperlink r:id="rId13">
        <w:r>
          <w:rPr>
            <w:color w:val="245B43"/>
            <w:u w:val="single"/>
          </w:rPr>
          <w:t>National Pesticide Information Center Neem Oil General Fact Sheet</w:t>
        </w:r>
      </w:hyperlink>
    </w:p>
    <w:p>
      <w:hyperlink r:id="rId14">
        <w:r>
          <w:rPr>
            <w:color w:val="245B43"/>
            <w:u w:val="single"/>
          </w:rPr>
          <w:t>University of California IPM Fungus Gnats</w:t>
        </w:r>
      </w:hyperlink>
    </w:p>
    <w:p>
      <w:hyperlink r:id="rId15">
        <w:r>
          <w:rPr>
            <w:color w:val="245B43"/>
            <w:u w:val="single"/>
          </w:rPr>
          <w:t>University of California IPM Mealybugs</w:t>
        </w:r>
      </w:hyperlink>
    </w:p>
    <w:p>
      <w:hyperlink r:id="rId16">
        <w:r>
          <w:rPr>
            <w:color w:val="245B43"/>
            <w:u w:val="single"/>
          </w:rPr>
          <w:t>EPA Introduction to Pesticide Labels</w:t>
        </w:r>
      </w:hyperlink>
    </w:p>
    <w:p>
      <w:r>
        <w:rPr>
          <w:b w:val="0"/>
          <w:i w:val="0"/>
        </w:rPr>
        <w:t xml:space="preserve">Added September 22, 2026 · </w:t>
      </w:r>
      <w:hyperlink r:id="rId17">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8">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guides/neem-oil/" TargetMode="External"/><Relationship Id="rId12" Type="http://schemas.openxmlformats.org/officeDocument/2006/relationships/hyperlink" Target="https://planteducationproject.com/guides/plant-disease-diagnosis/" TargetMode="External"/><Relationship Id="rId13" Type="http://schemas.openxmlformats.org/officeDocument/2006/relationships/hyperlink" Target="https://npic.orst.edu/factsheets/neemgen.html" TargetMode="External"/><Relationship Id="rId14" Type="http://schemas.openxmlformats.org/officeDocument/2006/relationships/hyperlink" Target="https://ipm.ucanr.edu/PMG/PESTNOTES/pn7448.html" TargetMode="External"/><Relationship Id="rId15" Type="http://schemas.openxmlformats.org/officeDocument/2006/relationships/hyperlink" Target="https://ipm.ucanr.edu/PMG/PESTNOTES/pn74174.html" TargetMode="External"/><Relationship Id="rId16" Type="http://schemas.openxmlformats.org/officeDocument/2006/relationships/hyperlink" Target="https://www.epa.gov/pesticide-labels/introduction-pesticide-labels" TargetMode="External"/><Relationship Id="rId17" Type="http://schemas.openxmlformats.org/officeDocument/2006/relationships/hyperlink" Target="https://planteducationproject.com/information-sheets/master-index/" TargetMode="External"/><Relationship Id="rId18"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guides neem oil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