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Native Prairie Wildflower and Grass Mix</w:t>
      </w:r>
    </w:p>
    <w:p>
      <w:pPr>
        <w:spacing w:after="320"/>
      </w:pPr>
      <w:r>
        <w:t>Combined Information Sheets</w:t>
      </w:r>
    </w:p>
    <w:p>
      <w:pPr>
        <w:pStyle w:val="Heading1"/>
      </w:pPr>
      <w:r>
        <w:t>Native Prairie Wildflower and Grass Mix</w:t>
      </w:r>
    </w:p>
    <w:p>
      <w:r>
        <w:rPr>
          <w:b/>
        </w:rPr>
        <w:t xml:space="preserve">Online Information Sheet: </w:t>
      </w:r>
      <w:hyperlink r:id="rId11">
        <w:r>
          <w:rPr>
            <w:color w:val="245B43"/>
            <w:u w:val="single"/>
          </w:rPr>
          <w:t>planteducationproject.com/guides/native-prairie-wildflower-and-grass-mix/</w:t>
        </w:r>
      </w:hyperlink>
    </w:p>
    <w:p>
      <w:r>
        <w:rPr>
          <w:b w:val="0"/>
          <w:i w:val="0"/>
        </w:rPr>
        <w:t>🌿 Information Sheet</w:t>
      </w:r>
    </w:p>
    <w:p>
      <w:r>
        <w:rPr>
          <w:b/>
          <w:i/>
        </w:rPr>
        <w:t xml:space="preserve">Best all-purpose container mix: </w:t>
      </w:r>
      <w:r>
        <w:rPr>
          <w:b/>
          <w:i/>
        </w:rPr>
        <w:t>2 parts generic potting soil + 1 part coarse perlite + 1 part granite chicken grit.</w:t>
      </w:r>
    </w:p>
    <w:p>
      <w:pPr>
        <w:pStyle w:val="Heading2"/>
      </w:pPr>
      <w:r>
        <w:t>Purpose</w:t>
      </w:r>
    </w:p>
    <w:p>
      <w:r>
        <w:rPr>
          <w:b/>
          <w:i/>
        </w:rPr>
        <w:t>For starting and growing native prairie wildflowers and grasses in pots, nursery containers, and transplant plugs. It is leaner and faster draining than a typical rich potting mix, which helps produce compact tops and sturdy, searching roots.</w:t>
      </w:r>
    </w:p>
    <w:p>
      <w:pPr>
        <w:pStyle w:val="Heading2"/>
      </w:pPr>
      <w:r>
        <w:t>Standard Recipe — By Volume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Amount</w:t>
            </w:r>
          </w:p>
        </w:tc>
        <w:tc>
          <w:tcPr>
            <w:tcW w:type="dxa" w:w="3389"/>
            <w:vAlign w:val="center"/>
            <w:shd w:fill="E9EDF0"/>
          </w:tcPr>
          <w:p>
            <w:pPr>
              <w:spacing w:after="60"/>
            </w:pPr>
            <w:r>
              <w:rPr>
                <w:b/>
                <w:i/>
                <w:sz w:val="22"/>
              </w:rPr>
              <w:t>Standard ingredient</w:t>
            </w:r>
          </w:p>
        </w:tc>
        <w:tc>
          <w:tcPr>
            <w:tcW w:type="dxa" w:w="3389"/>
            <w:vAlign w:val="center"/>
            <w:shd w:fill="E9EDF0"/>
          </w:tcPr>
          <w:p>
            <w:pPr>
              <w:spacing w:after="60"/>
            </w:pPr>
            <w:r>
              <w:rPr>
                <w:b/>
                <w:i/>
                <w:sz w:val="22"/>
              </w:rPr>
              <w:t>Function</w:t>
            </w:r>
          </w:p>
        </w:tc>
      </w:tr>
      <w:tr>
        <w:trPr>
          <w:cantSplit/>
        </w:trPr>
        <w:tc>
          <w:tcPr>
            <w:tcW w:type="dxa" w:w="3389"/>
            <w:vAlign w:val="center"/>
            <w:shd w:fill="FFFFFF"/>
          </w:tcPr>
          <w:p>
            <w:pPr>
              <w:spacing w:after="60"/>
            </w:pPr>
            <w:r>
              <w:rPr>
                <w:b/>
                <w:i/>
                <w:sz w:val="22"/>
              </w:rPr>
              <w:t>2 parts</w:t>
            </w:r>
          </w:p>
        </w:tc>
        <w:tc>
          <w:tcPr>
            <w:tcW w:type="dxa" w:w="3389"/>
            <w:vAlign w:val="center"/>
            <w:shd w:fill="FFFFFF"/>
          </w:tcPr>
          <w:p>
            <w:pPr>
              <w:spacing w:after="60"/>
            </w:pPr>
            <w:r>
              <w:rPr>
                <w:b w:val="0"/>
                <w:i/>
                <w:sz w:val="22"/>
              </w:rPr>
              <w:t>generic potting soil</w:t>
            </w:r>
          </w:p>
        </w:tc>
        <w:tc>
          <w:tcPr>
            <w:tcW w:type="dxa" w:w="3389"/>
            <w:vAlign w:val="center"/>
            <w:shd w:fill="FFFFFF"/>
          </w:tcPr>
          <w:p>
            <w:pPr>
              <w:spacing w:after="60"/>
            </w:pPr>
            <w:r>
              <w:rPr>
                <w:b w:val="0"/>
                <w:i/>
                <w:sz w:val="22"/>
              </w:rPr>
              <w:t>Base; supplies moderate organic matter and enough fertility for container growth.</w:t>
            </w:r>
          </w:p>
        </w:tc>
      </w:tr>
      <w:tr>
        <w:trPr>
          <w:cantSplit/>
        </w:trPr>
        <w:tc>
          <w:tcPr>
            <w:tcW w:type="dxa" w:w="3389"/>
            <w:vAlign w:val="center"/>
            <w:shd w:fill="FFFFFF"/>
          </w:tcPr>
          <w:p>
            <w:pPr>
              <w:spacing w:after="60"/>
            </w:pPr>
            <w:r>
              <w:rPr>
                <w:b/>
                <w:i/>
                <w:sz w:val="22"/>
              </w:rPr>
              <w:t>1 part</w:t>
            </w:r>
          </w:p>
        </w:tc>
        <w:tc>
          <w:tcPr>
            <w:tcW w:type="dxa" w:w="3389"/>
            <w:vAlign w:val="center"/>
            <w:shd w:fill="FFFFFF"/>
          </w:tcPr>
          <w:p>
            <w:pPr>
              <w:spacing w:after="60"/>
            </w:pPr>
            <w:r>
              <w:rPr>
                <w:b w:val="0"/>
                <w:i/>
                <w:sz w:val="22"/>
              </w:rPr>
              <w:t>Coarse perlite</w:t>
            </w:r>
          </w:p>
        </w:tc>
        <w:tc>
          <w:tcPr>
            <w:tcW w:type="dxa" w:w="3389"/>
            <w:vAlign w:val="center"/>
            <w:shd w:fill="FFFFFF"/>
          </w:tcPr>
          <w:p>
            <w:pPr>
              <w:spacing w:after="60"/>
            </w:pPr>
            <w:r>
              <w:rPr>
                <w:b w:val="0"/>
                <w:i/>
                <w:sz w:val="22"/>
              </w:rPr>
              <w:t>Adds air space and reduces waterlogging around young prairie roots.</w:t>
            </w:r>
          </w:p>
        </w:tc>
      </w:tr>
      <w:tr>
        <w:trPr>
          <w:cantSplit/>
        </w:trPr>
        <w:tc>
          <w:tcPr>
            <w:tcW w:type="dxa" w:w="3389"/>
            <w:vAlign w:val="center"/>
            <w:shd w:fill="FFFFFF"/>
          </w:tcPr>
          <w:p>
            <w:pPr>
              <w:spacing w:after="60"/>
            </w:pPr>
            <w:r>
              <w:rPr>
                <w:b/>
                <w:i/>
                <w:sz w:val="22"/>
              </w:rPr>
              <w:t>1 part</w:t>
            </w:r>
          </w:p>
        </w:tc>
        <w:tc>
          <w:tcPr>
            <w:tcW w:type="dxa" w:w="3389"/>
            <w:vAlign w:val="center"/>
            <w:shd w:fill="FFFFFF"/>
          </w:tcPr>
          <w:p>
            <w:pPr>
              <w:spacing w:after="60"/>
            </w:pPr>
            <w:r>
              <w:rPr>
                <w:b w:val="0"/>
                <w:i/>
                <w:sz w:val="22"/>
              </w:rPr>
              <w:t>Granite chicken grit</w:t>
            </w:r>
          </w:p>
        </w:tc>
        <w:tc>
          <w:tcPr>
            <w:tcW w:type="dxa" w:w="3389"/>
            <w:vAlign w:val="center"/>
            <w:shd w:fill="FFFFFF"/>
          </w:tcPr>
          <w:p>
            <w:pPr>
              <w:spacing w:after="60"/>
            </w:pPr>
            <w:r>
              <w:rPr>
                <w:b w:val="0"/>
                <w:i/>
                <w:sz w:val="22"/>
              </w:rPr>
              <w:t>Adds durable mineral structure, weight, and very fast drainage.</w:t>
            </w:r>
          </w:p>
        </w:tc>
      </w:tr>
    </w:tbl>
    <w:p>
      <w:pPr>
        <w:spacing w:after="20"/>
      </w:pPr>
    </w:p>
    <w:p>
      <w:pPr>
        <w:pStyle w:val="Heading2"/>
      </w:pPr>
      <w:r>
        <w:t>Mixing and Use</w:t>
      </w:r>
    </w:p>
    <w:p>
      <w:pPr>
        <w:pStyle w:val="ListBullet"/>
      </w:pPr>
      <w:r>
        <w:rPr>
          <w:b/>
          <w:i/>
        </w:rPr>
        <w:t>Measure by volume with the same scoop. Moisten the generic potting soil lightly before mixing to reduce dust.</w:t>
      </w:r>
    </w:p>
    <w:p>
      <w:pPr>
        <w:pStyle w:val="ListBullet"/>
      </w:pPr>
      <w:r>
        <w:rPr>
          <w:b/>
          <w:i/>
        </w:rPr>
        <w:t>Blend until perlite and granite chicken grit are evenly distributed. Break up clumps; never compress the mix.</w:t>
      </w:r>
    </w:p>
    <w:p>
      <w:pPr>
        <w:pStyle w:val="ListBullet"/>
      </w:pPr>
      <w:r>
        <w:rPr>
          <w:b/>
          <w:i/>
        </w:rPr>
        <w:t>Use containers with open drainage holes. Do not put gravel or grit in a separate bottom layer.</w:t>
      </w:r>
    </w:p>
    <w:p>
      <w:pPr>
        <w:pStyle w:val="ListBullet"/>
      </w:pPr>
      <w:r>
        <w:rPr>
          <w:b/>
          <w:i/>
        </w:rPr>
        <w:t>Fill loosely, tap the container once to settle, then water thoroughly and let it drain.</w:t>
      </w:r>
    </w:p>
    <w:p>
      <w:pPr>
        <w:pStyle w:val="ListBullet"/>
      </w:pPr>
      <w:r>
        <w:rPr>
          <w:b/>
          <w:i/>
        </w:rPr>
        <w:t>Transplant plugs when roots hold the plug together. Plant at the same crown depth; do not bury grass crowns or wildflower rosettes.</w:t>
      </w:r>
    </w:p>
    <w:p>
      <w:pPr>
        <w:pStyle w:val="Heading2"/>
      </w:pPr>
      <w:r>
        <w:t>Seed-Starting Adjustment</w:t>
      </w:r>
    </w:p>
    <w:p>
      <w:r>
        <w:rPr>
          <w:b w:val="0"/>
          <w:i w:val="0"/>
        </w:rPr>
        <w:t>For seed starting: 2 parts coco coir + 1 part coarse perlite + 1 part vermiculite, by volume. Match sowing depth, pretreatment and moisture to the species. Transfer established seedlings into the Prairie Standard Mix before they become severely root-bound.</w:t>
      </w:r>
    </w:p>
    <w:p>
      <w:pPr>
        <w:pStyle w:val="Heading2"/>
      </w:pPr>
      <w:r>
        <w:t>What Not to Add</w:t>
      </w:r>
    </w:p>
    <w:p>
      <w:pPr>
        <w:pStyle w:val="ListBullet"/>
      </w:pPr>
      <w:r>
        <w:rPr>
          <w:b/>
          <w:i/>
        </w:rPr>
        <w:t>Do not add compost-rich raised-bed/in-ground soil ingredient to this container mix. It is richer and can hold too much water; never use it alone in a container.</w:t>
      </w:r>
    </w:p>
    <w:p>
      <w:pPr>
        <w:pStyle w:val="ListBullet"/>
      </w:pPr>
      <w:r>
        <w:rPr>
          <w:b/>
          <w:i/>
        </w:rPr>
        <w:t>Do not add routine fertilizer at mixing. Many prairie natives grow sturdier in moderate rather than lush fertility.</w:t>
      </w:r>
    </w:p>
    <w:p>
      <w:pPr>
        <w:pStyle w:val="ListBullet"/>
      </w:pPr>
      <w:r>
        <w:rPr>
          <w:b/>
          <w:i/>
        </w:rPr>
        <w:t>Do not use coco coir, orchid bark, peat moss, sand, gravel, or separate compost in this standard recipe.</w:t>
      </w:r>
    </w:p>
    <w:p>
      <w:pPr>
        <w:pStyle w:val="Heading2"/>
      </w:pPr>
      <w:r>
        <w:t>Watering and Feeding</w:t>
      </w:r>
    </w:p>
    <w:p>
      <w:pPr>
        <w:pStyle w:val="ListBullet"/>
      </w:pPr>
      <w:r>
        <w:rPr>
          <w:b/>
          <w:i/>
        </w:rPr>
        <w:t>During germination and establishment, keep the mix evenly damp—not saturated.</w:t>
      </w:r>
    </w:p>
    <w:p>
      <w:pPr>
        <w:pStyle w:val="ListBullet"/>
      </w:pPr>
      <w:r>
        <w:rPr>
          <w:b/>
          <w:i/>
        </w:rPr>
        <w:t>After establishment, water deeply, then allow the upper 1–2 inches to begin drying before watering again.</w:t>
      </w:r>
    </w:p>
    <w:p>
      <w:pPr>
        <w:pStyle w:val="ListBullet"/>
      </w:pPr>
      <w:r>
        <w:rPr>
          <w:b/>
          <w:i/>
        </w:rPr>
        <w:t>Feed only if plants show persistent pale growth after establishment. Use a dilute, balanced fertilizer at one-quarter strength; excessive nitrogen causes floppy growth.</w:t>
      </w:r>
    </w:p>
    <w:p>
      <w:pPr>
        <w:pStyle w:val="Heading2"/>
      </w:pPr>
      <w:r>
        <w:t>Field and Garden-Bed Use</w:t>
      </w:r>
    </w:p>
    <w:p>
      <w:r>
        <w:rPr>
          <w:b/>
          <w:i/>
        </w:rPr>
        <w:t>This is a container-production mix, not a recipe for replacing native garden soil. For prairie beds, preserve the existing mineral soil, correct drainage or compaction only when necessary, control weeds before planting, and avoid enriching the whole bed with potting soil or compost.</w:t>
      </w:r>
    </w:p>
    <w:p>
      <w:pPr>
        <w:pStyle w:val="Heading2"/>
      </w:pPr>
      <w:r>
        <w:t>Quick Reference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Standard container mix</w:t>
            </w:r>
          </w:p>
        </w:tc>
        <w:tc>
          <w:tcPr>
            <w:tcW w:type="dxa" w:w="5083"/>
            <w:vAlign w:val="center"/>
            <w:shd w:fill="E9EDF0"/>
          </w:tcPr>
          <w:p>
            <w:pPr>
              <w:spacing w:after="60"/>
            </w:pPr>
            <w:r>
              <w:rPr>
                <w:b/>
                <w:i w:val="0"/>
                <w:sz w:val="22"/>
              </w:rPr>
              <w:t>2 parts generic potting soil + 1 part coarse perlite + 1 part granite chicken grit</w:t>
            </w:r>
          </w:p>
        </w:tc>
      </w:tr>
      <w:tr>
        <w:trPr>
          <w:cantSplit/>
        </w:trPr>
        <w:tc>
          <w:tcPr>
            <w:tcW w:type="dxa" w:w="5083"/>
            <w:vAlign w:val="center"/>
            <w:shd w:fill="FFFFFF"/>
          </w:tcPr>
          <w:p>
            <w:pPr>
              <w:spacing w:after="60"/>
            </w:pPr>
            <w:r>
              <w:rPr>
                <w:b/>
                <w:i/>
                <w:sz w:val="22"/>
              </w:rPr>
              <w:t>Seed-starting mix</w:t>
            </w:r>
          </w:p>
        </w:tc>
        <w:tc>
          <w:tcPr>
            <w:tcW w:type="dxa" w:w="5083"/>
            <w:vAlign w:val="center"/>
            <w:shd w:fill="FFFFFF"/>
          </w:tcPr>
          <w:p>
            <w:pPr>
              <w:spacing w:after="60"/>
            </w:pPr>
            <w:r>
              <w:rPr>
                <w:b w:val="0"/>
                <w:i w:val="0"/>
                <w:sz w:val="22"/>
              </w:rPr>
              <w:t>2 parts coco coir + 1 part coarse perlite + 1 part vermiculite</w:t>
            </w:r>
          </w:p>
        </w:tc>
      </w:tr>
      <w:tr>
        <w:trPr>
          <w:cantSplit/>
        </w:trPr>
        <w:tc>
          <w:tcPr>
            <w:tcW w:type="dxa" w:w="5083"/>
            <w:vAlign w:val="center"/>
            <w:shd w:fill="FFFFFF"/>
          </w:tcPr>
          <w:p>
            <w:pPr>
              <w:spacing w:after="60"/>
            </w:pPr>
            <w:r>
              <w:rPr>
                <w:b/>
                <w:i/>
                <w:sz w:val="22"/>
              </w:rPr>
              <w:t>Fertility</w:t>
            </w:r>
          </w:p>
        </w:tc>
        <w:tc>
          <w:tcPr>
            <w:tcW w:type="dxa" w:w="5083"/>
            <w:vAlign w:val="center"/>
            <w:shd w:fill="FFFFFF"/>
          </w:tcPr>
          <w:p>
            <w:pPr>
              <w:spacing w:after="60"/>
            </w:pPr>
            <w:r>
              <w:rPr>
                <w:b w:val="0"/>
                <w:i/>
                <w:sz w:val="22"/>
              </w:rPr>
              <w:t>Moderate to low; do not enrich routinely</w:t>
            </w:r>
          </w:p>
        </w:tc>
      </w:tr>
      <w:tr>
        <w:trPr>
          <w:cantSplit/>
        </w:trPr>
        <w:tc>
          <w:tcPr>
            <w:tcW w:type="dxa" w:w="5083"/>
            <w:vAlign w:val="center"/>
            <w:shd w:fill="FFFFFF"/>
          </w:tcPr>
          <w:p>
            <w:pPr>
              <w:spacing w:after="60"/>
            </w:pPr>
            <w:r>
              <w:rPr>
                <w:b/>
                <w:i/>
                <w:sz w:val="22"/>
              </w:rPr>
              <w:t>Drainage</w:t>
            </w:r>
          </w:p>
        </w:tc>
        <w:tc>
          <w:tcPr>
            <w:tcW w:type="dxa" w:w="5083"/>
            <w:vAlign w:val="center"/>
            <w:shd w:fill="FFFFFF"/>
          </w:tcPr>
          <w:p>
            <w:pPr>
              <w:spacing w:after="60"/>
            </w:pPr>
            <w:r>
              <w:rPr>
                <w:b w:val="0"/>
                <w:i/>
                <w:sz w:val="22"/>
              </w:rPr>
              <w:t>Fast; drainage holes required</w:t>
            </w:r>
          </w:p>
        </w:tc>
      </w:tr>
      <w:tr>
        <w:trPr>
          <w:cantSplit/>
        </w:trPr>
        <w:tc>
          <w:tcPr>
            <w:tcW w:type="dxa" w:w="5083"/>
            <w:vAlign w:val="center"/>
            <w:shd w:fill="FFFFFF"/>
          </w:tcPr>
          <w:p>
            <w:pPr>
              <w:spacing w:after="60"/>
            </w:pPr>
            <w:r>
              <w:rPr>
                <w:b/>
                <w:i/>
                <w:sz w:val="22"/>
              </w:rPr>
              <w:t>Best use</w:t>
            </w:r>
          </w:p>
        </w:tc>
        <w:tc>
          <w:tcPr>
            <w:tcW w:type="dxa" w:w="5083"/>
            <w:vAlign w:val="center"/>
            <w:shd w:fill="FFFFFF"/>
          </w:tcPr>
          <w:p>
            <w:pPr>
              <w:spacing w:after="60"/>
            </w:pPr>
            <w:r>
              <w:rPr>
                <w:b w:val="0"/>
                <w:i/>
                <w:sz w:val="22"/>
              </w:rPr>
              <w:t>Pots, plugs, nursery containers, transplant production</w:t>
            </w:r>
          </w:p>
        </w:tc>
      </w:tr>
    </w:tbl>
    <w:p>
      <w:pPr>
        <w:spacing w:after="20"/>
      </w:pPr>
    </w:p>
    <w:p>
      <w:pPr>
        <w:pStyle w:val="Heading2"/>
      </w:pPr>
      <w:r>
        <w:t>Related Information Sheets</w:t>
      </w:r>
    </w:p>
    <w:p>
      <w:pPr>
        <w:pStyle w:val="ListBullet"/>
      </w:pPr>
      <w:r>
        <w:rPr>
          <w:b/>
          <w:i/>
        </w:rPr>
        <w:t>Plant Potting Mixes — Detailed Information Sheet</w:t>
      </w:r>
    </w:p>
    <w:p>
      <w:pPr>
        <w:pStyle w:val="ListBullet"/>
      </w:pPr>
      <w:r>
        <w:rPr>
          <w:b/>
          <w:i/>
        </w:rPr>
        <w:t>Cutting Propagation Soil Mixes — Information Sheet</w:t>
      </w:r>
    </w:p>
    <w:p>
      <w:pPr>
        <w:pStyle w:val="ListBullet"/>
      </w:pPr>
      <w:r>
        <w:rPr>
          <w:b/>
          <w:i/>
        </w:rPr>
        <w:t>Testing Pot Moisture — Information Sheet</w:t>
      </w:r>
    </w:p>
    <w:p>
      <w:pPr>
        <w:pStyle w:val="ListBullet"/>
      </w:pPr>
      <w:r>
        <w:rPr>
          <w:b/>
          <w:i/>
        </w:rPr>
        <w:t>Seed Germination Protocols — Information Sheet</w:t>
      </w:r>
    </w:p>
    <w:p>
      <w:pPr>
        <w:pStyle w:val="Heading2"/>
      </w:pPr>
      <w:r>
        <w:t>References</w:t>
      </w:r>
    </w:p>
    <w:p>
      <w:pPr>
        <w:pStyle w:val="ListBullet"/>
      </w:pPr>
      <w:r>
        <w:rPr>
          <w:b/>
          <w:i/>
        </w:rPr>
        <w:t>USDA Natural Resources Conservation Service. Native plant establishment and soil-management guidance.</w:t>
      </w:r>
    </w:p>
    <w:p>
      <w:pPr>
        <w:pStyle w:val="ListBullet"/>
      </w:pPr>
      <w:r>
        <w:rPr>
          <w:b/>
          <w:i/>
        </w:rPr>
        <w:t>Tallgrass Prairie Center, University of Northern Iowa. Native seedling and prairie-establishment guidance.</w:t>
      </w:r>
    </w:p>
    <w:p>
      <w:pPr>
        <w:pStyle w:val="ListBullet"/>
      </w:pPr>
      <w:r>
        <w:rPr>
          <w:b/>
          <w:i/>
        </w:rPr>
        <w:t>Purdue Extension. Native plants and Indiana landscape establishment guidance.</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native-prairie-wildflower-and-grass-mix/"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native prairie wildflower and grass mix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