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Hi-Yield Soil Sulfur</w:t>
      </w:r>
    </w:p>
    <w:p>
      <w:pPr>
        <w:spacing w:after="320"/>
      </w:pPr>
      <w:r>
        <w:t>Combined Information Sheets</w:t>
      </w:r>
    </w:p>
    <w:p>
      <w:pPr>
        <w:pStyle w:val="Heading1"/>
      </w:pPr>
      <w:r>
        <w:t>Hi-Yield Soil Sulfur</w:t>
      </w:r>
    </w:p>
    <w:p>
      <w:r>
        <w:rPr>
          <w:b/>
        </w:rPr>
        <w:t xml:space="preserve">Online Information Sheet: </w:t>
      </w:r>
      <w:hyperlink r:id="rId11">
        <w:r>
          <w:rPr>
            <w:color w:val="245B43"/>
            <w:u w:val="single"/>
          </w:rPr>
          <w:t>planteducationproject.com/guides/hi-yield-soil-sulfur/</w:t>
        </w:r>
      </w:hyperlink>
    </w:p>
    <w:p>
      <w:r>
        <w:rPr>
          <w:b w:val="0"/>
          <w:i w:val="0"/>
        </w:rPr>
        <w:t>🌿 Information Sheet</w:t>
      </w:r>
    </w:p>
    <w:p>
      <w:pPr>
        <w:pStyle w:val="Heading2"/>
      </w:pPr>
      <w:r>
        <w:t>What it does</w:t>
      </w:r>
    </w:p>
    <w:p>
      <w:pPr>
        <w:pStyle w:val="ListBullet"/>
      </w:pPr>
      <w:r>
        <w:rPr>
          <w:b/>
          <w:i/>
        </w:rPr>
        <w:t>Elemental sulfur does not act like an instant acid. Soil microbes oxidize it, gradually forming acidity that lowers soil pH.</w:t>
      </w:r>
    </w:p>
    <w:p>
      <w:pPr>
        <w:pStyle w:val="ListBullet"/>
      </w:pPr>
      <w:r>
        <w:rPr>
          <w:b/>
          <w:i/>
        </w:rPr>
        <w:t>The product is slow acting but long lasting. The bag says the effect will not be complete until 6–8 weeks after application; cool or dry soil can make it slower.</w:t>
      </w:r>
    </w:p>
    <w:p>
      <w:pPr>
        <w:pStyle w:val="ListBullet"/>
      </w:pPr>
      <w:r>
        <w:rPr>
          <w:b/>
          <w:i/>
        </w:rPr>
        <w:t>Lower pH only when a soil test and the needs of the intended plants justify it. Too much sulfur can make soil excessively acidic and injure roots.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CARE FACTOR</w:t>
            </w:r>
          </w:p>
        </w:tc>
        <w:tc>
          <w:tcPr>
            <w:tcW w:type="dxa" w:w="5083"/>
            <w:vAlign w:val="center"/>
            <w:shd w:fill="E9EDF0"/>
          </w:tcPr>
          <w:p>
            <w:pPr>
              <w:spacing w:after="60"/>
            </w:pPr>
            <w:r>
              <w:rPr>
                <w:b/>
                <w:i/>
                <w:sz w:val="22"/>
              </w:rPr>
              <w:t>PRACTICAL GUIDANCE</w:t>
            </w:r>
          </w:p>
        </w:tc>
      </w:tr>
      <w:tr>
        <w:trPr>
          <w:cantSplit/>
        </w:trPr>
        <w:tc>
          <w:tcPr>
            <w:tcW w:type="dxa" w:w="5083"/>
            <w:vAlign w:val="center"/>
            <w:shd w:fill="FFFFFF"/>
          </w:tcPr>
          <w:p>
            <w:pPr>
              <w:spacing w:after="60"/>
            </w:pPr>
            <w:r>
              <w:rPr>
                <w:b/>
                <w:i/>
                <w:sz w:val="22"/>
              </w:rPr>
              <w:t>Guaranteed analysis</w:t>
            </w:r>
          </w:p>
        </w:tc>
        <w:tc>
          <w:tcPr>
            <w:tcW w:type="dxa" w:w="5083"/>
            <w:vAlign w:val="center"/>
            <w:shd w:fill="FFFFFF"/>
          </w:tcPr>
          <w:p>
            <w:pPr>
              <w:spacing w:after="60"/>
            </w:pPr>
            <w:r>
              <w:rPr>
                <w:b w:val="0"/>
                <w:i/>
                <w:sz w:val="22"/>
              </w:rPr>
              <w:t>Sulfur (S): 90.0%; 90% free sulfur; derived from elemental sulfur.</w:t>
            </w:r>
          </w:p>
        </w:tc>
      </w:tr>
      <w:tr>
        <w:trPr>
          <w:cantSplit/>
        </w:trPr>
        <w:tc>
          <w:tcPr>
            <w:tcW w:type="dxa" w:w="5083"/>
            <w:vAlign w:val="center"/>
            <w:shd w:fill="FFFFFF"/>
          </w:tcPr>
          <w:p>
            <w:pPr>
              <w:spacing w:after="60"/>
            </w:pPr>
            <w:r>
              <w:rPr>
                <w:b/>
                <w:i/>
                <w:sz w:val="22"/>
              </w:rPr>
              <w:t>Label rate</w:t>
            </w:r>
          </w:p>
        </w:tc>
        <w:tc>
          <w:tcPr>
            <w:tcW w:type="dxa" w:w="5083"/>
            <w:vAlign w:val="center"/>
            <w:shd w:fill="FFFFFF"/>
          </w:tcPr>
          <w:p>
            <w:pPr>
              <w:spacing w:after="60"/>
            </w:pPr>
            <w:r>
              <w:rPr>
                <w:b w:val="0"/>
                <w:i/>
                <w:sz w:val="22"/>
              </w:rPr>
              <w:t>1–2 lb per 100 square feet. Spade or mix into soil.</w:t>
            </w:r>
          </w:p>
        </w:tc>
      </w:tr>
      <w:tr>
        <w:trPr>
          <w:cantSplit/>
        </w:trPr>
        <w:tc>
          <w:tcPr>
            <w:tcW w:type="dxa" w:w="5083"/>
            <w:vAlign w:val="center"/>
            <w:shd w:fill="FFFFFF"/>
          </w:tcPr>
          <w:p>
            <w:pPr>
              <w:spacing w:after="60"/>
            </w:pPr>
            <w:r>
              <w:rPr>
                <w:b/>
                <w:i/>
                <w:sz w:val="22"/>
              </w:rPr>
              <w:t>Equivalent rate</w:t>
            </w:r>
          </w:p>
        </w:tc>
        <w:tc>
          <w:tcPr>
            <w:tcW w:type="dxa" w:w="5083"/>
            <w:vAlign w:val="center"/>
            <w:shd w:fill="FFFFFF"/>
          </w:tcPr>
          <w:p>
            <w:pPr>
              <w:spacing w:after="60"/>
            </w:pPr>
            <w:r>
              <w:rPr>
                <w:b w:val="0"/>
                <w:i/>
                <w:sz w:val="22"/>
              </w:rPr>
              <w:t>About 4.5–9.1 g per square foot; 1 lb/100 ft² equals about 48.8 g/m².</w:t>
            </w:r>
          </w:p>
        </w:tc>
      </w:tr>
      <w:tr>
        <w:trPr>
          <w:cantSplit/>
        </w:trPr>
        <w:tc>
          <w:tcPr>
            <w:tcW w:type="dxa" w:w="5083"/>
            <w:vAlign w:val="center"/>
            <w:shd w:fill="FFFFFF"/>
          </w:tcPr>
          <w:p>
            <w:pPr>
              <w:spacing w:after="60"/>
            </w:pPr>
            <w:r>
              <w:rPr>
                <w:b/>
                <w:i/>
                <w:sz w:val="22"/>
              </w:rPr>
              <w:t>Timing</w:t>
            </w:r>
          </w:p>
        </w:tc>
        <w:tc>
          <w:tcPr>
            <w:tcW w:type="dxa" w:w="5083"/>
            <w:vAlign w:val="center"/>
            <w:shd w:fill="FFFFFF"/>
          </w:tcPr>
          <w:p>
            <w:pPr>
              <w:spacing w:after="60"/>
            </w:pPr>
            <w:r>
              <w:rPr>
                <w:b w:val="0"/>
                <w:i/>
                <w:sz w:val="22"/>
              </w:rPr>
              <w:t>Allow at least 6–8 weeks; many extension sources recommend applying months before planting when a major correction is needed.</w:t>
            </w:r>
          </w:p>
        </w:tc>
      </w:tr>
      <w:tr>
        <w:trPr>
          <w:cantSplit/>
        </w:trPr>
        <w:tc>
          <w:tcPr>
            <w:tcW w:type="dxa" w:w="5083"/>
            <w:vAlign w:val="center"/>
            <w:shd w:fill="FFFFFF"/>
          </w:tcPr>
          <w:p>
            <w:pPr>
              <w:spacing w:after="60"/>
            </w:pPr>
            <w:r>
              <w:rPr>
                <w:b/>
                <w:i/>
                <w:sz w:val="22"/>
              </w:rPr>
              <w:t>Where</w:t>
            </w:r>
          </w:p>
        </w:tc>
        <w:tc>
          <w:tcPr>
            <w:tcW w:type="dxa" w:w="5083"/>
            <w:vAlign w:val="center"/>
            <w:shd w:fill="FFFFFF"/>
          </w:tcPr>
          <w:p>
            <w:pPr>
              <w:spacing w:after="60"/>
            </w:pPr>
            <w:r>
              <w:rPr>
                <w:b w:val="0"/>
                <w:i/>
                <w:sz w:val="22"/>
              </w:rPr>
              <w:t>Outdoor lawn or garden soil as allowed by the complete label—not container-grown plants.</w:t>
            </w:r>
          </w:p>
        </w:tc>
      </w:tr>
      <w:tr>
        <w:trPr>
          <w:cantSplit/>
        </w:trPr>
        <w:tc>
          <w:tcPr>
            <w:tcW w:type="dxa" w:w="5083"/>
            <w:vAlign w:val="center"/>
            <w:shd w:fill="FFFFFF"/>
          </w:tcPr>
          <w:p>
            <w:pPr>
              <w:spacing w:after="60"/>
            </w:pPr>
            <w:r>
              <w:rPr>
                <w:b/>
                <w:i/>
                <w:sz w:val="22"/>
              </w:rPr>
              <w:t>Recheck</w:t>
            </w:r>
          </w:p>
        </w:tc>
        <w:tc>
          <w:tcPr>
            <w:tcW w:type="dxa" w:w="5083"/>
            <w:vAlign w:val="center"/>
            <w:shd w:fill="FFFFFF"/>
          </w:tcPr>
          <w:p>
            <w:pPr>
              <w:spacing w:after="60"/>
            </w:pPr>
            <w:r>
              <w:rPr>
                <w:b w:val="0"/>
                <w:i/>
                <w:sz w:val="22"/>
              </w:rPr>
              <w:t>Retest pH before applying more. A 3–6 month interval is more informative than checking after only a few days.</w:t>
            </w:r>
          </w:p>
        </w:tc>
      </w:tr>
    </w:tbl>
    <w:p>
      <w:pPr>
        <w:spacing w:after="20"/>
      </w:pPr>
    </w:p>
    <w:p>
      <w:pPr>
        <w:pStyle w:val="Heading2"/>
      </w:pPr>
      <w:r>
        <w:t>Safe, disciplined procedure</w:t>
      </w:r>
    </w:p>
    <w:p>
      <w:pPr>
        <w:pStyle w:val="ListBullet"/>
      </w:pPr>
      <w:r>
        <w:rPr>
          <w:b/>
          <w:i/>
        </w:rPr>
        <w:t>Test the soil through a reputable laboratory. Record current pH, soil texture, organic matter, and the crop’s target pH.</w:t>
      </w:r>
    </w:p>
    <w:p>
      <w:pPr>
        <w:pStyle w:val="ListBullet"/>
      </w:pPr>
      <w:r>
        <w:rPr>
          <w:b/>
          <w:i/>
        </w:rPr>
        <w:t>Read the entire current bag label. Confirm that the site and use are allowed; use the label rate unless a laboratory recommendation and label permit otherwise.</w:t>
      </w:r>
    </w:p>
    <w:p>
      <w:pPr>
        <w:pStyle w:val="ListBullet"/>
      </w:pPr>
      <w:r>
        <w:rPr>
          <w:b/>
          <w:i/>
        </w:rPr>
        <w:t>Measure the actual treatment area. For a 10 × 10 ft bed (100 ft²), the photographed label rate is 1–2 lb total.</w:t>
      </w:r>
    </w:p>
    <w:p>
      <w:pPr>
        <w:pStyle w:val="ListBullet"/>
      </w:pPr>
      <w:r>
        <w:rPr>
          <w:b/>
          <w:i/>
        </w:rPr>
        <w:t>Weigh the product rather than estimating by handfuls. Spread uniformly on calm, dry ground; avoid breathing dust and keep it off skin and eyes.</w:t>
      </w:r>
    </w:p>
    <w:p>
      <w:pPr>
        <w:pStyle w:val="ListBullet"/>
      </w:pPr>
      <w:r>
        <w:rPr>
          <w:b/>
          <w:i/>
        </w:rPr>
        <w:t>Incorporate as directed, water normally, and wait. Microbial conversion needs warmth, moisture, and time.</w:t>
      </w:r>
    </w:p>
    <w:p>
      <w:pPr>
        <w:pStyle w:val="ListBullet"/>
      </w:pPr>
      <w:r>
        <w:rPr>
          <w:b/>
          <w:i/>
        </w:rPr>
        <w:t>Retest before repeating. Stop when the target range is reached; do not chase a single inexpensive probe reading.</w:t>
      </w:r>
    </w:p>
    <w:p>
      <w:pPr>
        <w:pStyle w:val="Heading2"/>
      </w:pPr>
      <w:r>
        <w:t>Rate examples from this label</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CARE FACTOR</w:t>
            </w:r>
          </w:p>
        </w:tc>
        <w:tc>
          <w:tcPr>
            <w:tcW w:type="dxa" w:w="5083"/>
            <w:vAlign w:val="center"/>
            <w:shd w:fill="E9EDF0"/>
          </w:tcPr>
          <w:p>
            <w:pPr>
              <w:spacing w:after="60"/>
            </w:pPr>
            <w:r>
              <w:rPr>
                <w:b/>
                <w:i/>
                <w:sz w:val="22"/>
              </w:rPr>
              <w:t>PRACTICAL GUIDANCE</w:t>
            </w:r>
          </w:p>
        </w:tc>
      </w:tr>
      <w:tr>
        <w:trPr>
          <w:cantSplit/>
        </w:trPr>
        <w:tc>
          <w:tcPr>
            <w:tcW w:type="dxa" w:w="5083"/>
            <w:vAlign w:val="center"/>
            <w:shd w:fill="FFFFFF"/>
          </w:tcPr>
          <w:p>
            <w:pPr>
              <w:spacing w:after="60"/>
            </w:pPr>
            <w:r>
              <w:rPr>
                <w:b/>
                <w:i/>
                <w:sz w:val="22"/>
              </w:rPr>
              <w:t>25 ft² bed</w:t>
            </w:r>
          </w:p>
        </w:tc>
        <w:tc>
          <w:tcPr>
            <w:tcW w:type="dxa" w:w="5083"/>
            <w:vAlign w:val="center"/>
            <w:shd w:fill="FFFFFF"/>
          </w:tcPr>
          <w:p>
            <w:pPr>
              <w:spacing w:after="60"/>
            </w:pPr>
            <w:r>
              <w:rPr>
                <w:b w:val="0"/>
                <w:i/>
                <w:sz w:val="22"/>
              </w:rPr>
              <w:t>0.25–0.50 lb (4–8 oz)</w:t>
            </w:r>
          </w:p>
        </w:tc>
      </w:tr>
      <w:tr>
        <w:trPr>
          <w:cantSplit/>
        </w:trPr>
        <w:tc>
          <w:tcPr>
            <w:tcW w:type="dxa" w:w="5083"/>
            <w:vAlign w:val="center"/>
            <w:shd w:fill="FFFFFF"/>
          </w:tcPr>
          <w:p>
            <w:pPr>
              <w:spacing w:after="60"/>
            </w:pPr>
            <w:r>
              <w:rPr>
                <w:b/>
                <w:i/>
                <w:sz w:val="22"/>
              </w:rPr>
              <w:t>50 ft² bed</w:t>
            </w:r>
          </w:p>
        </w:tc>
        <w:tc>
          <w:tcPr>
            <w:tcW w:type="dxa" w:w="5083"/>
            <w:vAlign w:val="center"/>
            <w:shd w:fill="FFFFFF"/>
          </w:tcPr>
          <w:p>
            <w:pPr>
              <w:spacing w:after="60"/>
            </w:pPr>
            <w:r>
              <w:rPr>
                <w:b w:val="0"/>
                <w:i/>
                <w:sz w:val="22"/>
              </w:rPr>
              <w:t>0.50–1.00 lb (8–16 oz)</w:t>
            </w:r>
          </w:p>
        </w:tc>
      </w:tr>
      <w:tr>
        <w:trPr>
          <w:cantSplit/>
        </w:trPr>
        <w:tc>
          <w:tcPr>
            <w:tcW w:type="dxa" w:w="5083"/>
            <w:vAlign w:val="center"/>
            <w:shd w:fill="FFFFFF"/>
          </w:tcPr>
          <w:p>
            <w:pPr>
              <w:spacing w:after="60"/>
            </w:pPr>
            <w:r>
              <w:rPr>
                <w:b/>
                <w:i/>
                <w:sz w:val="22"/>
              </w:rPr>
              <w:t>100 ft² bed</w:t>
            </w:r>
          </w:p>
        </w:tc>
        <w:tc>
          <w:tcPr>
            <w:tcW w:type="dxa" w:w="5083"/>
            <w:vAlign w:val="center"/>
            <w:shd w:fill="FFFFFF"/>
          </w:tcPr>
          <w:p>
            <w:pPr>
              <w:spacing w:after="60"/>
            </w:pPr>
            <w:r>
              <w:rPr>
                <w:b w:val="0"/>
                <w:i/>
                <w:sz w:val="22"/>
              </w:rPr>
              <w:t>1–2 lb</w:t>
            </w:r>
          </w:p>
        </w:tc>
      </w:tr>
      <w:tr>
        <w:trPr>
          <w:cantSplit/>
        </w:trPr>
        <w:tc>
          <w:tcPr>
            <w:tcW w:type="dxa" w:w="5083"/>
            <w:vAlign w:val="center"/>
            <w:shd w:fill="FFFFFF"/>
          </w:tcPr>
          <w:p>
            <w:pPr>
              <w:spacing w:after="60"/>
            </w:pPr>
            <w:r>
              <w:rPr>
                <w:b/>
                <w:i/>
                <w:sz w:val="22"/>
              </w:rPr>
              <w:t>200 ft² bed</w:t>
            </w:r>
          </w:p>
        </w:tc>
        <w:tc>
          <w:tcPr>
            <w:tcW w:type="dxa" w:w="5083"/>
            <w:vAlign w:val="center"/>
            <w:shd w:fill="FFFFFF"/>
          </w:tcPr>
          <w:p>
            <w:pPr>
              <w:spacing w:after="60"/>
            </w:pPr>
            <w:r>
              <w:rPr>
                <w:b w:val="0"/>
                <w:i/>
                <w:sz w:val="22"/>
              </w:rPr>
              <w:t>2–4 lb</w:t>
            </w:r>
          </w:p>
        </w:tc>
      </w:tr>
      <w:tr>
        <w:trPr>
          <w:cantSplit/>
        </w:trPr>
        <w:tc>
          <w:tcPr>
            <w:tcW w:type="dxa" w:w="5083"/>
            <w:vAlign w:val="center"/>
            <w:shd w:fill="FFFFFF"/>
          </w:tcPr>
          <w:p>
            <w:pPr>
              <w:spacing w:after="60"/>
            </w:pPr>
            <w:r>
              <w:rPr>
                <w:b/>
                <w:i/>
                <w:sz w:val="22"/>
              </w:rPr>
              <w:t>1,000 ft² area</w:t>
            </w:r>
          </w:p>
        </w:tc>
        <w:tc>
          <w:tcPr>
            <w:tcW w:type="dxa" w:w="5083"/>
            <w:vAlign w:val="center"/>
            <w:shd w:fill="FFFFFF"/>
          </w:tcPr>
          <w:p>
            <w:pPr>
              <w:spacing w:after="60"/>
            </w:pPr>
            <w:r>
              <w:rPr>
                <w:b w:val="0"/>
                <w:i/>
                <w:sz w:val="22"/>
              </w:rPr>
              <w:t>10–20 lb</w:t>
            </w:r>
          </w:p>
        </w:tc>
      </w:tr>
    </w:tbl>
    <w:p>
      <w:pPr>
        <w:spacing w:after="20"/>
      </w:pPr>
    </w:p>
    <w:p>
      <w:pPr>
        <w:pStyle w:val="Heading2"/>
      </w:pPr>
      <w:r>
        <w:t>Why soil testing matters</w:t>
      </w:r>
    </w:p>
    <w:p>
      <w:pPr>
        <w:pStyle w:val="ListBullet"/>
      </w:pPr>
      <w:r>
        <w:rPr>
          <w:b/>
          <w:i/>
        </w:rPr>
        <w:t>Sandy soil changes more readily than clayey or organic-rich soil. Calcareous, highly buffered soil may resist lasting pH reduction.</w:t>
      </w:r>
    </w:p>
    <w:p>
      <w:pPr>
        <w:pStyle w:val="ListBullet"/>
      </w:pPr>
      <w:r>
        <w:rPr>
          <w:b/>
          <w:i/>
        </w:rPr>
        <w:t>Plant targets differ: blueberries need much more acidic soil than most vegetables, turf, or ornamentals.</w:t>
      </w:r>
    </w:p>
    <w:p>
      <w:pPr>
        <w:pStyle w:val="ListBullet"/>
      </w:pPr>
      <w:r>
        <w:rPr>
          <w:b/>
          <w:i/>
        </w:rPr>
        <w:t>A cheap direct-insertion pH probe can mislead. Laboratory pH and buffer information are safer foundations for a permanent amendment.</w:t>
      </w:r>
    </w:p>
    <w:p>
      <w:pPr>
        <w:pStyle w:val="ListBullet"/>
      </w:pPr>
      <w:r>
        <w:rPr>
          <w:b/>
          <w:i/>
        </w:rPr>
        <w:t>Elemental sulfur supplies sulfur and changes pH; gypsum supplies sulfur and calcium but generally does not acidify soil in the same way.</w:t>
      </w:r>
    </w:p>
    <w:p>
      <w:pPr>
        <w:pStyle w:val="Heading2"/>
      </w:pPr>
      <w:r>
        <w:t>Storage and precautions</w:t>
      </w:r>
    </w:p>
    <w:p>
      <w:pPr>
        <w:pStyle w:val="ListBullet"/>
      </w:pPr>
      <w:r>
        <w:rPr>
          <w:b/>
          <w:i/>
        </w:rPr>
        <w:t>Store dry, sealed, labeled, and away from children, pets, food, flame, and incompatible chemicals.</w:t>
      </w:r>
    </w:p>
    <w:p>
      <w:pPr>
        <w:pStyle w:val="ListBullet"/>
      </w:pPr>
      <w:r>
        <w:rPr>
          <w:b/>
          <w:i/>
        </w:rPr>
        <w:t>Wear gloves and eye protection; avoid dust. Wash after handling. Follow the product label and Safety Data Sheet for first aid and disposal.</w:t>
      </w:r>
    </w:p>
    <w:p>
      <w:pPr>
        <w:pStyle w:val="ListBullet"/>
      </w:pPr>
      <w:r>
        <w:rPr>
          <w:b/>
          <w:i/>
        </w:rPr>
        <w:t>Do not mix casually with other fertilizers or pesticides. Keep product out of drains and surface water.</w:t>
      </w:r>
    </w:p>
    <w:p>
      <w:pPr>
        <w:pStyle w:val="Heading2"/>
      </w:pPr>
      <w:r>
        <w:t>Sources and identification note</w:t>
      </w:r>
    </w:p>
    <w:p>
      <w:pPr>
        <w:pStyle w:val="ListBullet"/>
      </w:pPr>
      <w:r>
        <w:rPr>
          <w:b/>
          <w:i/>
        </w:rPr>
        <w:t xml:space="preserve">Hi-Yield / ferti-lome — Soil Sulfur product page: </w:t>
      </w:r>
      <w:r>
        <w:rPr>
          <w:b/>
          <w:i/>
        </w:rPr>
        <w:t>https://www.fertilome.com/product/soil-sulfur-4-lbs</w:t>
      </w:r>
    </w:p>
    <w:p>
      <w:pPr>
        <w:pStyle w:val="ListBullet"/>
      </w:pPr>
      <w:r>
        <w:rPr>
          <w:b/>
          <w:i/>
        </w:rPr>
        <w:t xml:space="preserve">University of Minnesota Extension — Does your soil have a high pH?: </w:t>
      </w:r>
      <w:r>
        <w:rPr>
          <w:b/>
          <w:i/>
        </w:rPr>
        <w:t>https://blog-fruit-vegetable-ipm.extension.umn.edu/2021/10/does-your-soil-have-high-ph-fall-is.html</w:t>
      </w:r>
    </w:p>
    <w:p>
      <w:pPr>
        <w:pStyle w:val="ListBullet"/>
      </w:pPr>
      <w:r>
        <w:rPr>
          <w:b/>
          <w:i/>
        </w:rPr>
        <w:t xml:space="preserve">University of Minnesota Extension — Home remedies and soil nutrients: </w:t>
      </w:r>
      <w:r>
        <w:rPr>
          <w:b/>
          <w:i/>
        </w:rPr>
        <w:t>https://extension.umn.edu/manage-soil-nutrients/coffee-grounds-eggshells-epsom-salts</w:t>
      </w:r>
    </w:p>
    <w:p>
      <w:pPr>
        <w:pStyle w:val="ListBullet"/>
      </w:pPr>
      <w:r>
        <w:rPr>
          <w:b/>
          <w:i/>
        </w:rPr>
        <w:t xml:space="preserve">University of Minnesota Extension — Growing blueberries: </w:t>
      </w:r>
      <w:r>
        <w:rPr>
          <w:b/>
          <w:i/>
        </w:rPr>
        <w:t>https://extension.umn.edu/garden-and-home/yard-and-garden/gardening-minnesota/growing-blueberries-home-garden</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hi-yield-soil-sulfur/"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hi yield soil sulfur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