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Fertilizer</w:t>
      </w:r>
    </w:p>
    <w:p>
      <w:pPr>
        <w:spacing w:after="320"/>
      </w:pPr>
      <w:r>
        <w:t>Combined Information Sheets</w:t>
      </w:r>
    </w:p>
    <w:p>
      <w:pPr>
        <w:pStyle w:val="Heading1"/>
      </w:pPr>
      <w:r>
        <w:t>Fertilizer</w:t>
      </w:r>
    </w:p>
    <w:p>
      <w:r>
        <w:rPr>
          <w:b/>
        </w:rPr>
        <w:t xml:space="preserve">Online Information Sheet: </w:t>
      </w:r>
      <w:hyperlink r:id="rId11">
        <w:r>
          <w:rPr>
            <w:color w:val="245B43"/>
            <w:u w:val="single"/>
          </w:rPr>
          <w:t>planteducationproject.com/guides/fertilizer/</w:t>
        </w:r>
      </w:hyperlink>
    </w:p>
    <w:p>
      <w:r>
        <w:rPr>
          <w:b w:val="0"/>
          <w:i w:val="0"/>
        </w:rPr>
        <w:t>🌿 Information Sheet</w:t>
      </w:r>
    </w:p>
    <w:p>
      <w:r>
        <w:rPr>
          <w:b/>
          <w:i w:val="0"/>
        </w:rPr>
        <w:t>FIS 001   Practical fertilizer use for container and garden plants</w:t>
      </w:r>
    </w:p>
    <w:p>
      <w:r>
        <w:rPr>
          <w:b/>
          <w:i w:val="0"/>
        </w:rPr>
        <w:t xml:space="preserve">Bottom line. </w:t>
      </w:r>
      <w:r>
        <w:t>Fertilizer supplies nutrients; it does not correct poor light, damaged roots, compacted soil, bad drainage, or improper watering. Use the plant's needs and the product label to set the dose. When uncertain, fertilize less.</w:t>
      </w:r>
    </w:p>
    <w:p>
      <w:pPr>
        <w:pStyle w:val="Heading2"/>
      </w:pPr>
      <w:r>
        <w:t>What Fertilizer Does</w:t>
      </w:r>
    </w:p>
    <w:p>
      <w:pPr>
        <w:pStyle w:val="ListBullet"/>
      </w:pPr>
      <w:r>
        <w:rPr>
          <w:b w:val="0"/>
          <w:i w:val="0"/>
        </w:rPr>
        <w:t>Replaces mineral nutrients removed by plant growth, watering, harvest, or leaching.</w:t>
      </w:r>
    </w:p>
    <w:p>
      <w:pPr>
        <w:pStyle w:val="ListBullet"/>
      </w:pPr>
      <w:r>
        <w:rPr>
          <w:b w:val="0"/>
          <w:i w:val="0"/>
        </w:rPr>
        <w:t>Supports growth only when water, oxygen, light, temperature, and root health are adequate.</w:t>
      </w:r>
    </w:p>
    <w:p>
      <w:pPr>
        <w:pStyle w:val="ListBullet"/>
      </w:pPr>
      <w:r>
        <w:rPr>
          <w:b w:val="0"/>
          <w:i w:val="0"/>
        </w:rPr>
        <w:t>Can injure roots and leaves when too concentrated or allowed to accumulate as salts.</w:t>
      </w:r>
    </w:p>
    <w:p>
      <w:pPr>
        <w:pStyle w:val="Heading2"/>
      </w:pPr>
      <w:r>
        <w:t>Reading the Label</w:t>
      </w:r>
    </w:p>
    <w:p>
      <w:pPr>
        <w:pStyle w:val="Heading2"/>
      </w:pPr>
      <w:r>
        <w:t>The Three Primary Nutrients</w:t>
      </w:r>
    </w:p>
    <w:tbl>
      <w:tblPr>
        <w:tblW w:type="auto" w:w="0"/>
        <w:jc w:val="center"/>
        <w:tblLayout w:type="autofit"/>
        <w:tblLook w:firstColumn="1" w:firstRow="1" w:lastColumn="0" w:lastRow="0" w:noHBand="0" w:noVBand="1" w:val="04A0"/>
      </w:tblPr>
      <w:tblGrid>
        <w:gridCol w:w="3389"/>
        <w:gridCol w:w="3389"/>
        <w:gridCol w:w="3389"/>
      </w:tblGrid>
      <w:tr>
        <w:trPr>
          <w:cantSplit/>
          <w:tblHeader w:val="true"/>
        </w:trPr>
        <w:tc>
          <w:tcPr>
            <w:tcW w:type="dxa" w:w="3389"/>
            <w:vAlign w:val="center"/>
            <w:shd w:fill="E9EDF0"/>
          </w:tcPr>
          <w:p>
            <w:pPr>
              <w:spacing w:after="60"/>
            </w:pPr>
            <w:r>
              <w:rPr>
                <w:b/>
                <w:i w:val="0"/>
                <w:sz w:val="22"/>
              </w:rPr>
              <w:t>Nutrient</w:t>
            </w:r>
          </w:p>
        </w:tc>
        <w:tc>
          <w:tcPr>
            <w:tcW w:type="dxa" w:w="3389"/>
            <w:vAlign w:val="center"/>
            <w:shd w:fill="E9EDF0"/>
          </w:tcPr>
          <w:p>
            <w:pPr>
              <w:spacing w:after="60"/>
            </w:pPr>
            <w:r>
              <w:rPr>
                <w:b/>
                <w:i w:val="0"/>
                <w:sz w:val="22"/>
              </w:rPr>
              <w:t>Main role</w:t>
            </w:r>
          </w:p>
        </w:tc>
        <w:tc>
          <w:tcPr>
            <w:tcW w:type="dxa" w:w="3389"/>
            <w:vAlign w:val="center"/>
            <w:shd w:fill="E9EDF0"/>
          </w:tcPr>
          <w:p>
            <w:pPr>
              <w:spacing w:after="60"/>
            </w:pPr>
            <w:r>
              <w:rPr>
                <w:b/>
                <w:i w:val="0"/>
                <w:sz w:val="22"/>
              </w:rPr>
              <w:t>Common deficiency clues</w:t>
            </w:r>
          </w:p>
        </w:tc>
      </w:tr>
      <w:tr>
        <w:trPr>
          <w:cantSplit/>
        </w:trPr>
        <w:tc>
          <w:tcPr>
            <w:tcW w:type="dxa" w:w="3389"/>
            <w:vAlign w:val="center"/>
            <w:shd w:fill="FFFFFF"/>
          </w:tcPr>
          <w:p>
            <w:pPr>
              <w:spacing w:after="60"/>
            </w:pPr>
            <w:r>
              <w:rPr>
                <w:b/>
                <w:i w:val="0"/>
                <w:sz w:val="22"/>
              </w:rPr>
              <w:t>Nitrogen N</w:t>
            </w:r>
          </w:p>
        </w:tc>
        <w:tc>
          <w:tcPr>
            <w:tcW w:type="dxa" w:w="3389"/>
            <w:vAlign w:val="center"/>
            <w:shd w:fill="FFFFFF"/>
          </w:tcPr>
          <w:p>
            <w:pPr>
              <w:spacing w:after="60"/>
            </w:pPr>
            <w:r>
              <w:rPr>
                <w:b w:val="0"/>
                <w:i w:val="0"/>
                <w:sz w:val="22"/>
              </w:rPr>
              <w:t>Leaf and stem growth; chlorophyll and proteins.</w:t>
            </w:r>
          </w:p>
        </w:tc>
        <w:tc>
          <w:tcPr>
            <w:tcW w:type="dxa" w:w="3389"/>
            <w:vAlign w:val="center"/>
            <w:shd w:fill="FFFFFF"/>
          </w:tcPr>
          <w:p>
            <w:pPr>
              <w:spacing w:after="60"/>
            </w:pPr>
            <w:r>
              <w:rPr>
                <w:b w:val="0"/>
                <w:i w:val="0"/>
                <w:sz w:val="22"/>
              </w:rPr>
              <w:t>Older leaves become pale or yellow; growth slows.</w:t>
            </w:r>
          </w:p>
        </w:tc>
      </w:tr>
      <w:tr>
        <w:trPr>
          <w:cantSplit/>
        </w:trPr>
        <w:tc>
          <w:tcPr>
            <w:tcW w:type="dxa" w:w="3389"/>
            <w:vAlign w:val="center"/>
            <w:shd w:fill="FFFFFF"/>
          </w:tcPr>
          <w:p>
            <w:pPr>
              <w:spacing w:after="60"/>
            </w:pPr>
            <w:r>
              <w:rPr>
                <w:b/>
                <w:i w:val="0"/>
                <w:sz w:val="22"/>
              </w:rPr>
              <w:t>Phosphorus P</w:t>
            </w:r>
          </w:p>
        </w:tc>
        <w:tc>
          <w:tcPr>
            <w:tcW w:type="dxa" w:w="3389"/>
            <w:vAlign w:val="center"/>
            <w:shd w:fill="FFFFFF"/>
          </w:tcPr>
          <w:p>
            <w:pPr>
              <w:spacing w:after="60"/>
            </w:pPr>
            <w:r>
              <w:rPr>
                <w:b w:val="0"/>
                <w:i w:val="0"/>
                <w:sz w:val="22"/>
              </w:rPr>
              <w:t>Energy transfer, roots, flowering, and seed development.</w:t>
            </w:r>
          </w:p>
        </w:tc>
        <w:tc>
          <w:tcPr>
            <w:tcW w:type="dxa" w:w="3389"/>
            <w:vAlign w:val="center"/>
            <w:shd w:fill="FFFFFF"/>
          </w:tcPr>
          <w:p>
            <w:pPr>
              <w:spacing w:after="60"/>
            </w:pPr>
            <w:r>
              <w:rPr>
                <w:b w:val="0"/>
                <w:i w:val="0"/>
                <w:sz w:val="22"/>
              </w:rPr>
              <w:t>Stunting; dark or purplish foliage in some plants. Cold roots can mimic deficiency.</w:t>
            </w:r>
          </w:p>
        </w:tc>
      </w:tr>
      <w:tr>
        <w:trPr>
          <w:cantSplit/>
        </w:trPr>
        <w:tc>
          <w:tcPr>
            <w:tcW w:type="dxa" w:w="3389"/>
            <w:vAlign w:val="center"/>
            <w:shd w:fill="FFFFFF"/>
          </w:tcPr>
          <w:p>
            <w:pPr>
              <w:spacing w:after="60"/>
            </w:pPr>
            <w:r>
              <w:rPr>
                <w:b/>
                <w:i w:val="0"/>
                <w:sz w:val="22"/>
              </w:rPr>
              <w:t>Potassium K</w:t>
            </w:r>
          </w:p>
        </w:tc>
        <w:tc>
          <w:tcPr>
            <w:tcW w:type="dxa" w:w="3389"/>
            <w:vAlign w:val="center"/>
            <w:shd w:fill="FFFFFF"/>
          </w:tcPr>
          <w:p>
            <w:pPr>
              <w:spacing w:after="60"/>
            </w:pPr>
            <w:r>
              <w:rPr>
                <w:b w:val="0"/>
                <w:i w:val="0"/>
                <w:sz w:val="22"/>
              </w:rPr>
              <w:t>Water regulation, enzyme activity, stress tolerance, and tissue strength.</w:t>
            </w:r>
          </w:p>
        </w:tc>
        <w:tc>
          <w:tcPr>
            <w:tcW w:type="dxa" w:w="3389"/>
            <w:vAlign w:val="center"/>
            <w:shd w:fill="FFFFFF"/>
          </w:tcPr>
          <w:p>
            <w:pPr>
              <w:spacing w:after="60"/>
            </w:pPr>
            <w:r>
              <w:rPr>
                <w:b w:val="0"/>
                <w:i w:val="0"/>
                <w:sz w:val="22"/>
              </w:rPr>
              <w:t>Older leaf edges scorch or brown; weak growth. Symptoms are not diagnostic by themselves.</w:t>
            </w:r>
          </w:p>
        </w:tc>
      </w:tr>
    </w:tbl>
    <w:p>
      <w:pPr>
        <w:spacing w:after="20"/>
      </w:pPr>
    </w:p>
    <w:p>
      <w:r>
        <w:rPr>
          <w:b/>
          <w:i w:val="0"/>
        </w:rPr>
        <w:t xml:space="preserve">Important: </w:t>
      </w:r>
      <w:r>
        <w:t>Leaf color alone cannot prove a nutrient deficiency. Root damage, high pH, poor drainage, drought, cold, disease, and excess salts can cause similar symptoms.</w:t>
      </w:r>
    </w:p>
    <w:p>
      <w:pPr>
        <w:pStyle w:val="Heading2"/>
      </w:pPr>
      <w:r>
        <w:t>Choosing a Product</w:t>
      </w:r>
    </w:p>
    <w:tbl>
      <w:tblPr>
        <w:tblW w:type="auto" w:w="0"/>
        <w:jc w:val="center"/>
        <w:tblLayout w:type="autofit"/>
        <w:tblLook w:firstColumn="1" w:firstRow="1" w:lastColumn="0" w:lastRow="0" w:noHBand="0" w:noVBand="1" w:val="04A0"/>
      </w:tblPr>
      <w:tblGrid>
        <w:gridCol w:w="3389"/>
        <w:gridCol w:w="3389"/>
        <w:gridCol w:w="3389"/>
      </w:tblGrid>
      <w:tr>
        <w:trPr>
          <w:cantSplit/>
          <w:tblHeader w:val="true"/>
        </w:trPr>
        <w:tc>
          <w:tcPr>
            <w:tcW w:type="dxa" w:w="3389"/>
            <w:vAlign w:val="center"/>
            <w:shd w:fill="E9EDF0"/>
          </w:tcPr>
          <w:p>
            <w:pPr>
              <w:spacing w:after="60"/>
            </w:pPr>
            <w:r>
              <w:rPr>
                <w:b/>
                <w:i w:val="0"/>
                <w:sz w:val="22"/>
              </w:rPr>
              <w:t>Product type</w:t>
            </w:r>
          </w:p>
        </w:tc>
        <w:tc>
          <w:tcPr>
            <w:tcW w:type="dxa" w:w="3389"/>
            <w:vAlign w:val="center"/>
            <w:shd w:fill="E9EDF0"/>
          </w:tcPr>
          <w:p>
            <w:pPr>
              <w:spacing w:after="60"/>
            </w:pPr>
            <w:r>
              <w:rPr>
                <w:b/>
                <w:i w:val="0"/>
                <w:sz w:val="22"/>
              </w:rPr>
              <w:t>Best use</w:t>
            </w:r>
          </w:p>
        </w:tc>
        <w:tc>
          <w:tcPr>
            <w:tcW w:type="dxa" w:w="3389"/>
            <w:vAlign w:val="center"/>
            <w:shd w:fill="E9EDF0"/>
          </w:tcPr>
          <w:p>
            <w:pPr>
              <w:spacing w:after="60"/>
            </w:pPr>
            <w:r>
              <w:rPr>
                <w:b/>
                <w:i w:val="0"/>
                <w:sz w:val="22"/>
              </w:rPr>
              <w:t>Main caution</w:t>
            </w:r>
          </w:p>
        </w:tc>
      </w:tr>
      <w:tr>
        <w:trPr>
          <w:cantSplit/>
        </w:trPr>
        <w:tc>
          <w:tcPr>
            <w:tcW w:type="dxa" w:w="3389"/>
            <w:vAlign w:val="center"/>
            <w:shd w:fill="FFFFFF"/>
          </w:tcPr>
          <w:p>
            <w:pPr>
              <w:spacing w:after="60"/>
            </w:pPr>
            <w:r>
              <w:rPr>
                <w:b/>
                <w:i w:val="0"/>
                <w:sz w:val="22"/>
              </w:rPr>
              <w:t>Water soluble liquid or powder</w:t>
            </w:r>
          </w:p>
        </w:tc>
        <w:tc>
          <w:tcPr>
            <w:tcW w:type="dxa" w:w="3389"/>
            <w:vAlign w:val="center"/>
            <w:shd w:fill="FFFFFF"/>
          </w:tcPr>
          <w:p>
            <w:pPr>
              <w:spacing w:after="60"/>
            </w:pPr>
            <w:r>
              <w:rPr>
                <w:b w:val="0"/>
                <w:i w:val="0"/>
                <w:sz w:val="22"/>
              </w:rPr>
              <w:t>Fast, adjustable feeding of houseplants and containers.</w:t>
            </w:r>
          </w:p>
        </w:tc>
        <w:tc>
          <w:tcPr>
            <w:tcW w:type="dxa" w:w="3389"/>
            <w:vAlign w:val="center"/>
            <w:shd w:fill="FFFFFF"/>
          </w:tcPr>
          <w:p>
            <w:pPr>
              <w:spacing w:after="60"/>
            </w:pPr>
            <w:r>
              <w:rPr>
                <w:b w:val="0"/>
                <w:i w:val="0"/>
                <w:sz w:val="22"/>
              </w:rPr>
              <w:t>Easy to overapply; measure water and concentrate accurately.</w:t>
            </w:r>
          </w:p>
        </w:tc>
      </w:tr>
      <w:tr>
        <w:trPr>
          <w:cantSplit/>
        </w:trPr>
        <w:tc>
          <w:tcPr>
            <w:tcW w:type="dxa" w:w="3389"/>
            <w:vAlign w:val="center"/>
            <w:shd w:fill="FFFFFF"/>
          </w:tcPr>
          <w:p>
            <w:pPr>
              <w:spacing w:after="60"/>
            </w:pPr>
            <w:r>
              <w:rPr>
                <w:b/>
                <w:i w:val="0"/>
                <w:sz w:val="22"/>
              </w:rPr>
              <w:t>Controlled release granules</w:t>
            </w:r>
          </w:p>
        </w:tc>
        <w:tc>
          <w:tcPr>
            <w:tcW w:type="dxa" w:w="3389"/>
            <w:vAlign w:val="center"/>
            <w:shd w:fill="FFFFFF"/>
          </w:tcPr>
          <w:p>
            <w:pPr>
              <w:spacing w:after="60"/>
            </w:pPr>
            <w:r>
              <w:rPr>
                <w:b w:val="0"/>
                <w:i w:val="0"/>
                <w:sz w:val="22"/>
              </w:rPr>
              <w:t>Steady feeding over a stated temperature-dependent period.</w:t>
            </w:r>
          </w:p>
        </w:tc>
        <w:tc>
          <w:tcPr>
            <w:tcW w:type="dxa" w:w="3389"/>
            <w:vAlign w:val="center"/>
            <w:shd w:fill="FFFFFF"/>
          </w:tcPr>
          <w:p>
            <w:pPr>
              <w:spacing w:after="60"/>
            </w:pPr>
            <w:r>
              <w:rPr>
                <w:b w:val="0"/>
                <w:i w:val="0"/>
                <w:sz w:val="22"/>
              </w:rPr>
              <w:t>Warm conditions can release nutrients faster; do not assume old granules are exhausted.</w:t>
            </w:r>
          </w:p>
        </w:tc>
      </w:tr>
      <w:tr>
        <w:trPr>
          <w:cantSplit/>
        </w:trPr>
        <w:tc>
          <w:tcPr>
            <w:tcW w:type="dxa" w:w="3389"/>
            <w:vAlign w:val="center"/>
            <w:shd w:fill="FFFFFF"/>
          </w:tcPr>
          <w:p>
            <w:pPr>
              <w:spacing w:after="60"/>
            </w:pPr>
            <w:r>
              <w:rPr>
                <w:b/>
                <w:i w:val="0"/>
                <w:sz w:val="22"/>
              </w:rPr>
              <w:t>Dry granular</w:t>
            </w:r>
          </w:p>
        </w:tc>
        <w:tc>
          <w:tcPr>
            <w:tcW w:type="dxa" w:w="3389"/>
            <w:vAlign w:val="center"/>
            <w:shd w:fill="FFFFFF"/>
          </w:tcPr>
          <w:p>
            <w:pPr>
              <w:spacing w:after="60"/>
            </w:pPr>
            <w:r>
              <w:rPr>
                <w:b w:val="0"/>
                <w:i w:val="0"/>
                <w:sz w:val="22"/>
              </w:rPr>
              <w:t>Garden beds and measured surface applications.</w:t>
            </w:r>
          </w:p>
        </w:tc>
        <w:tc>
          <w:tcPr>
            <w:tcW w:type="dxa" w:w="3389"/>
            <w:vAlign w:val="center"/>
            <w:shd w:fill="FFFFFF"/>
          </w:tcPr>
          <w:p>
            <w:pPr>
              <w:spacing w:after="60"/>
            </w:pPr>
            <w:r>
              <w:rPr>
                <w:b w:val="0"/>
                <w:i w:val="0"/>
                <w:sz w:val="22"/>
              </w:rPr>
              <w:t>Keep off foliage; water in as directed; uneven spreading can burn roots.</w:t>
            </w:r>
          </w:p>
        </w:tc>
      </w:tr>
      <w:tr>
        <w:trPr>
          <w:cantSplit/>
        </w:trPr>
        <w:tc>
          <w:tcPr>
            <w:tcW w:type="dxa" w:w="3389"/>
            <w:vAlign w:val="center"/>
            <w:shd w:fill="FFFFFF"/>
          </w:tcPr>
          <w:p>
            <w:pPr>
              <w:spacing w:after="60"/>
            </w:pPr>
            <w:r>
              <w:rPr>
                <w:b/>
                <w:i w:val="0"/>
                <w:sz w:val="22"/>
              </w:rPr>
              <w:t>Organic fertilizer</w:t>
            </w:r>
          </w:p>
        </w:tc>
        <w:tc>
          <w:tcPr>
            <w:tcW w:type="dxa" w:w="3389"/>
            <w:vAlign w:val="center"/>
            <w:shd w:fill="FFFFFF"/>
          </w:tcPr>
          <w:p>
            <w:pPr>
              <w:spacing w:after="60"/>
            </w:pPr>
            <w:r>
              <w:rPr>
                <w:b w:val="0"/>
                <w:i w:val="0"/>
                <w:sz w:val="22"/>
              </w:rPr>
              <w:t>Slow nutrient release plus possible soil-building benefits.</w:t>
            </w:r>
          </w:p>
        </w:tc>
        <w:tc>
          <w:tcPr>
            <w:tcW w:type="dxa" w:w="3389"/>
            <w:vAlign w:val="center"/>
            <w:shd w:fill="FFFFFF"/>
          </w:tcPr>
          <w:p>
            <w:pPr>
              <w:spacing w:after="60"/>
            </w:pPr>
            <w:r>
              <w:rPr>
                <w:b w:val="0"/>
                <w:i w:val="0"/>
                <w:sz w:val="22"/>
              </w:rPr>
              <w:t>Analysis is often lower and release depends on moisture, warmth, and microbes.</w:t>
            </w:r>
          </w:p>
        </w:tc>
      </w:tr>
    </w:tbl>
    <w:p>
      <w:pPr>
        <w:spacing w:after="20"/>
      </w:pPr>
    </w:p>
    <w:p>
      <w:pPr>
        <w:pStyle w:val="Heading2"/>
      </w:pPr>
      <w:r>
        <w:t>A Safe Application Routine</w:t>
      </w:r>
    </w:p>
    <w:p>
      <w:pPr>
        <w:pStyle w:val="ListBullet"/>
      </w:pPr>
      <w:r>
        <w:rPr>
          <w:b w:val="0"/>
          <w:i w:val="0"/>
        </w:rPr>
        <w:t>Identify the plant, growth stage, pot size, growing medium, and season.</w:t>
      </w:r>
    </w:p>
    <w:p>
      <w:pPr>
        <w:pStyle w:val="ListBullet"/>
      </w:pPr>
      <w:r>
        <w:rPr>
          <w:b w:val="0"/>
          <w:i w:val="0"/>
        </w:rPr>
        <w:t>Check whether fertilizer is already present in the potting mix.</w:t>
      </w:r>
    </w:p>
    <w:p>
      <w:pPr>
        <w:pStyle w:val="ListBullet"/>
      </w:pPr>
      <w:r>
        <w:rPr>
          <w:b w:val="0"/>
          <w:i w:val="0"/>
        </w:rPr>
        <w:t>Read the product label from start to finish. Use the supplied measuring device.</w:t>
      </w:r>
    </w:p>
    <w:p>
      <w:pPr>
        <w:pStyle w:val="ListBullet"/>
      </w:pPr>
      <w:r>
        <w:rPr>
          <w:b w:val="0"/>
          <w:i w:val="0"/>
        </w:rPr>
        <w:t>For actively growing container plants, begin with the lowest labeled rate. Many sensitive plants do well at one-quarter to one-half of the standard houseplant strength, but never exceed the label.</w:t>
      </w:r>
    </w:p>
    <w:p>
      <w:pPr>
        <w:pStyle w:val="ListBullet"/>
      </w:pPr>
      <w:r>
        <w:rPr>
          <w:b w:val="0"/>
          <w:i w:val="0"/>
        </w:rPr>
        <w:t>Apply to moist - not bone-dry - potting medium unless the product label says otherwise.</w:t>
      </w:r>
    </w:p>
    <w:p>
      <w:pPr>
        <w:pStyle w:val="ListBullet"/>
      </w:pPr>
      <w:r>
        <w:rPr>
          <w:b w:val="0"/>
          <w:i w:val="0"/>
        </w:rPr>
        <w:t>Record the product, analysis, dose, date, and plant response before repeating.</w:t>
      </w:r>
    </w:p>
    <w:p>
      <w:pPr>
        <w:pStyle w:val="Heading2"/>
      </w:pPr>
      <w:r>
        <w:t>When to Fertilize</w:t>
      </w:r>
    </w:p>
    <w:p>
      <w:pPr>
        <w:pStyle w:val="ListBullet"/>
      </w:pPr>
      <w:r>
        <w:rPr>
          <w:b w:val="0"/>
          <w:i w:val="0"/>
        </w:rPr>
        <w:t>Feed most plants during active growth, when roots and shoots can use nutrients.</w:t>
      </w:r>
    </w:p>
    <w:p>
      <w:pPr>
        <w:pStyle w:val="ListBullet"/>
      </w:pPr>
      <w:r>
        <w:rPr>
          <w:b w:val="0"/>
          <w:i w:val="0"/>
        </w:rPr>
        <w:t>Reduce or stop during dormancy, severe heat, drought stress, root disease, or immediately after major repotting unless the label or crop guidance says otherwise.</w:t>
      </w:r>
    </w:p>
    <w:p>
      <w:pPr>
        <w:pStyle w:val="ListBullet"/>
      </w:pPr>
      <w:r>
        <w:rPr>
          <w:b w:val="0"/>
          <w:i w:val="0"/>
        </w:rPr>
        <w:t>New potting mixes may contain starter or controlled-release fertilizer. Adding more immediately can double-dose the plant.</w:t>
      </w:r>
    </w:p>
    <w:p>
      <w:pPr>
        <w:pStyle w:val="ListBullet"/>
      </w:pPr>
      <w:r>
        <w:rPr>
          <w:b w:val="0"/>
          <w:i w:val="0"/>
        </w:rPr>
        <w:t>Recently rooted cuttings and seedlings need weaker feeding than established plants; begin only after roots are functioning.</w:t>
      </w:r>
    </w:p>
    <w:p>
      <w:pPr>
        <w:pStyle w:val="Heading2"/>
      </w:pPr>
      <w:r>
        <w:t>Plant Group Guidance</w:t>
      </w:r>
    </w:p>
    <w:tbl>
      <w:tblPr>
        <w:tblW w:type="auto" w:w="0"/>
        <w:jc w:val="center"/>
        <w:tblLayout w:type="autofit"/>
        <w:tblLook w:firstColumn="1" w:firstRow="1" w:lastColumn="0" w:lastRow="0" w:noHBand="0" w:noVBand="1" w:val="04A0"/>
      </w:tblPr>
      <w:tblGrid>
        <w:gridCol w:w="3389"/>
        <w:gridCol w:w="3389"/>
        <w:gridCol w:w="3389"/>
      </w:tblGrid>
      <w:tr>
        <w:trPr>
          <w:cantSplit/>
          <w:tblHeader w:val="true"/>
        </w:trPr>
        <w:tc>
          <w:tcPr>
            <w:tcW w:type="dxa" w:w="3389"/>
            <w:vAlign w:val="center"/>
            <w:shd w:fill="E9EDF0"/>
          </w:tcPr>
          <w:p>
            <w:pPr>
              <w:spacing w:after="60"/>
            </w:pPr>
            <w:r>
              <w:rPr>
                <w:b/>
                <w:i w:val="0"/>
                <w:sz w:val="22"/>
              </w:rPr>
              <w:t>Plant group</w:t>
            </w:r>
          </w:p>
        </w:tc>
        <w:tc>
          <w:tcPr>
            <w:tcW w:type="dxa" w:w="3389"/>
            <w:vAlign w:val="center"/>
            <w:shd w:fill="E9EDF0"/>
          </w:tcPr>
          <w:p>
            <w:pPr>
              <w:spacing w:after="60"/>
            </w:pPr>
            <w:r>
              <w:rPr>
                <w:b/>
                <w:i w:val="0"/>
                <w:sz w:val="22"/>
              </w:rPr>
              <w:t>Starting approach</w:t>
            </w:r>
          </w:p>
        </w:tc>
        <w:tc>
          <w:tcPr>
            <w:tcW w:type="dxa" w:w="3389"/>
            <w:vAlign w:val="center"/>
            <w:shd w:fill="E9EDF0"/>
          </w:tcPr>
          <w:p>
            <w:pPr>
              <w:spacing w:after="60"/>
            </w:pPr>
            <w:r>
              <w:rPr>
                <w:b/>
                <w:i w:val="0"/>
                <w:sz w:val="22"/>
              </w:rPr>
              <w:t>Watch for</w:t>
            </w:r>
          </w:p>
        </w:tc>
      </w:tr>
      <w:tr>
        <w:trPr>
          <w:cantSplit/>
        </w:trPr>
        <w:tc>
          <w:tcPr>
            <w:tcW w:type="dxa" w:w="3389"/>
            <w:vAlign w:val="center"/>
            <w:shd w:fill="FFFFFF"/>
          </w:tcPr>
          <w:p>
            <w:pPr>
              <w:spacing w:after="60"/>
            </w:pPr>
            <w:r>
              <w:rPr>
                <w:b/>
                <w:i w:val="0"/>
                <w:sz w:val="22"/>
              </w:rPr>
              <w:t>Tropical houseplants</w:t>
            </w:r>
          </w:p>
        </w:tc>
        <w:tc>
          <w:tcPr>
            <w:tcW w:type="dxa" w:w="3389"/>
            <w:vAlign w:val="center"/>
            <w:shd w:fill="FFFFFF"/>
          </w:tcPr>
          <w:p>
            <w:pPr>
              <w:spacing w:after="60"/>
            </w:pPr>
            <w:r>
              <w:rPr>
                <w:b w:val="0"/>
                <w:i w:val="0"/>
                <w:sz w:val="22"/>
              </w:rPr>
              <w:t>Low labeled rate during active growth; adjust only after observing response.</w:t>
            </w:r>
          </w:p>
        </w:tc>
        <w:tc>
          <w:tcPr>
            <w:tcW w:type="dxa" w:w="3389"/>
            <w:vAlign w:val="center"/>
            <w:shd w:fill="FFFFFF"/>
          </w:tcPr>
          <w:p>
            <w:pPr>
              <w:spacing w:after="60"/>
            </w:pPr>
            <w:r>
              <w:rPr>
                <w:b w:val="0"/>
                <w:i w:val="0"/>
                <w:sz w:val="22"/>
              </w:rPr>
              <w:t>Pale growth from low light or wet roots can be mistaken for hunger.</w:t>
            </w:r>
          </w:p>
        </w:tc>
      </w:tr>
      <w:tr>
        <w:trPr>
          <w:cantSplit/>
        </w:trPr>
        <w:tc>
          <w:tcPr>
            <w:tcW w:type="dxa" w:w="3389"/>
            <w:vAlign w:val="center"/>
            <w:shd w:fill="FFFFFF"/>
          </w:tcPr>
          <w:p>
            <w:pPr>
              <w:spacing w:after="60"/>
            </w:pPr>
            <w:r>
              <w:rPr>
                <w:b/>
                <w:i w:val="0"/>
                <w:sz w:val="22"/>
              </w:rPr>
              <w:t>Cacti and succulents</w:t>
            </w:r>
          </w:p>
        </w:tc>
        <w:tc>
          <w:tcPr>
            <w:tcW w:type="dxa" w:w="3389"/>
            <w:vAlign w:val="center"/>
            <w:shd w:fill="FFFFFF"/>
          </w:tcPr>
          <w:p>
            <w:pPr>
              <w:spacing w:after="60"/>
            </w:pPr>
            <w:r>
              <w:rPr>
                <w:b w:val="0"/>
                <w:i w:val="0"/>
                <w:sz w:val="22"/>
              </w:rPr>
              <w:t>Use a dilute, low-frequency program while actively growing; stop or reduce during dormancy.</w:t>
            </w:r>
          </w:p>
        </w:tc>
        <w:tc>
          <w:tcPr>
            <w:tcW w:type="dxa" w:w="3389"/>
            <w:vAlign w:val="center"/>
            <w:shd w:fill="FFFFFF"/>
          </w:tcPr>
          <w:p>
            <w:pPr>
              <w:spacing w:after="60"/>
            </w:pPr>
            <w:r>
              <w:rPr>
                <w:b w:val="0"/>
                <w:i w:val="0"/>
                <w:sz w:val="22"/>
              </w:rPr>
              <w:t>Soft growth, splitting, salt injury, and fertilizer applied to dry roots.</w:t>
            </w:r>
          </w:p>
        </w:tc>
      </w:tr>
      <w:tr>
        <w:trPr>
          <w:cantSplit/>
        </w:trPr>
        <w:tc>
          <w:tcPr>
            <w:tcW w:type="dxa" w:w="3389"/>
            <w:vAlign w:val="center"/>
            <w:shd w:fill="FFFFFF"/>
          </w:tcPr>
          <w:p>
            <w:pPr>
              <w:spacing w:after="60"/>
            </w:pPr>
            <w:r>
              <w:rPr>
                <w:b/>
                <w:i w:val="0"/>
                <w:sz w:val="22"/>
              </w:rPr>
              <w:t>Flowering annuals</w:t>
            </w:r>
          </w:p>
        </w:tc>
        <w:tc>
          <w:tcPr>
            <w:tcW w:type="dxa" w:w="3389"/>
            <w:vAlign w:val="center"/>
            <w:shd w:fill="FFFFFF"/>
          </w:tcPr>
          <w:p>
            <w:pPr>
              <w:spacing w:after="60"/>
            </w:pPr>
            <w:r>
              <w:rPr>
                <w:b w:val="0"/>
                <w:i w:val="0"/>
                <w:sz w:val="22"/>
              </w:rPr>
              <w:t>Regular feeding may be useful in containers with frequent watering.</w:t>
            </w:r>
          </w:p>
        </w:tc>
        <w:tc>
          <w:tcPr>
            <w:tcW w:type="dxa" w:w="3389"/>
            <w:vAlign w:val="center"/>
            <w:shd w:fill="FFFFFF"/>
          </w:tcPr>
          <w:p>
            <w:pPr>
              <w:spacing w:after="60"/>
            </w:pPr>
            <w:r>
              <w:rPr>
                <w:b w:val="0"/>
                <w:i w:val="0"/>
                <w:sz w:val="22"/>
              </w:rPr>
              <w:t>Too much nitrogen can produce leaves at the expense of flowers.</w:t>
            </w:r>
          </w:p>
        </w:tc>
      </w:tr>
      <w:tr>
        <w:trPr>
          <w:cantSplit/>
        </w:trPr>
        <w:tc>
          <w:tcPr>
            <w:tcW w:type="dxa" w:w="3389"/>
            <w:vAlign w:val="center"/>
            <w:shd w:fill="FFFFFF"/>
          </w:tcPr>
          <w:p>
            <w:pPr>
              <w:spacing w:after="60"/>
            </w:pPr>
            <w:r>
              <w:rPr>
                <w:b/>
                <w:i w:val="0"/>
                <w:sz w:val="22"/>
              </w:rPr>
              <w:t>Perennials and native plants</w:t>
            </w:r>
          </w:p>
        </w:tc>
        <w:tc>
          <w:tcPr>
            <w:tcW w:type="dxa" w:w="3389"/>
            <w:vAlign w:val="center"/>
            <w:shd w:fill="FFFFFF"/>
          </w:tcPr>
          <w:p>
            <w:pPr>
              <w:spacing w:after="60"/>
            </w:pPr>
            <w:r>
              <w:rPr>
                <w:b w:val="0"/>
                <w:i w:val="0"/>
                <w:sz w:val="22"/>
              </w:rPr>
              <w:t>Base garden applications on soil conditions and species needs.</w:t>
            </w:r>
          </w:p>
        </w:tc>
        <w:tc>
          <w:tcPr>
            <w:tcW w:type="dxa" w:w="3389"/>
            <w:vAlign w:val="center"/>
            <w:shd w:fill="FFFFFF"/>
          </w:tcPr>
          <w:p>
            <w:pPr>
              <w:spacing w:after="60"/>
            </w:pPr>
            <w:r>
              <w:rPr>
                <w:b w:val="0"/>
                <w:i w:val="0"/>
                <w:sz w:val="22"/>
              </w:rPr>
              <w:t>Many established natives need little supplemental fertilizer.</w:t>
            </w:r>
          </w:p>
        </w:tc>
      </w:tr>
    </w:tbl>
    <w:p>
      <w:pPr>
        <w:spacing w:after="20"/>
      </w:pPr>
    </w:p>
    <w:p>
      <w:pPr>
        <w:pStyle w:val="Heading2"/>
      </w:pPr>
      <w:r>
        <w:t>Recognizing Excess Fertilizer</w:t>
      </w:r>
    </w:p>
    <w:p>
      <w:pPr>
        <w:pStyle w:val="ListBullet"/>
      </w:pPr>
      <w:r>
        <w:rPr>
          <w:b w:val="0"/>
          <w:i w:val="0"/>
        </w:rPr>
        <w:t>White crust on the soil surface, pot rim, or drainage holes.</w:t>
      </w:r>
    </w:p>
    <w:p>
      <w:pPr>
        <w:pStyle w:val="ListBullet"/>
      </w:pPr>
      <w:r>
        <w:rPr>
          <w:b w:val="0"/>
          <w:i w:val="0"/>
        </w:rPr>
        <w:t>Brown leaf tips or margins, sudden wilting despite moist soil, or damaged fine roots.</w:t>
      </w:r>
    </w:p>
    <w:p>
      <w:pPr>
        <w:pStyle w:val="ListBullet"/>
      </w:pPr>
      <w:r>
        <w:rPr>
          <w:b w:val="0"/>
          <w:i w:val="0"/>
        </w:rPr>
        <w:t>Very dark, soft, weak, or unusually rapid growth.</w:t>
      </w:r>
    </w:p>
    <w:p>
      <w:pPr>
        <w:pStyle w:val="ListBullet"/>
      </w:pPr>
      <w:r>
        <w:rPr>
          <w:b w:val="0"/>
          <w:i w:val="0"/>
        </w:rPr>
        <w:t>Runoff with a high salt load, especially after repeated feeding without thorough watering.</w:t>
      </w:r>
    </w:p>
    <w:p>
      <w:pPr>
        <w:pStyle w:val="Heading2"/>
      </w:pPr>
      <w:r>
        <w:t>If Overfertilization Is Suspected</w:t>
      </w:r>
    </w:p>
    <w:p>
      <w:pPr>
        <w:pStyle w:val="ListBullet"/>
      </w:pPr>
      <w:r>
        <w:rPr>
          <w:b w:val="0"/>
          <w:i w:val="0"/>
        </w:rPr>
        <w:t>Stop fertilizing. Do not add another product to 'balance' the mixture.</w:t>
      </w:r>
    </w:p>
    <w:p>
      <w:pPr>
        <w:pStyle w:val="ListBullet"/>
      </w:pPr>
      <w:r>
        <w:rPr>
          <w:b w:val="0"/>
          <w:i w:val="0"/>
        </w:rPr>
        <w:t>Remove visible granules if practical. If the container drains freely and the plant tolerates normal watering, leach with plain water and let it drain completely. Do not leach water-sensitive or root-rotted plants blindly.</w:t>
      </w:r>
    </w:p>
    <w:p>
      <w:pPr>
        <w:pStyle w:val="ListBullet"/>
      </w:pPr>
      <w:r>
        <w:rPr>
          <w:b w:val="0"/>
          <w:i w:val="0"/>
        </w:rPr>
        <w:t>Inspect roots and drainage. Repot in fresh medium when salt injury is serious or the medium no longer drains properly.</w:t>
      </w:r>
    </w:p>
    <w:p>
      <w:pPr>
        <w:pStyle w:val="ListBullet"/>
      </w:pPr>
      <w:r>
        <w:rPr>
          <w:b w:val="0"/>
          <w:i w:val="0"/>
        </w:rPr>
        <w:t>Resume feeding only after healthy growth returns, using a lower rate or longer interval.</w:t>
      </w:r>
    </w:p>
    <w:p>
      <w:pPr>
        <w:pStyle w:val="Heading2"/>
      </w:pPr>
      <w:r>
        <w:t>Soil Testing and pH</w:t>
      </w:r>
    </w:p>
    <w:p>
      <w:r>
        <w:rPr>
          <w:b/>
          <w:i w:val="0"/>
        </w:rPr>
        <w:t xml:space="preserve">For outdoor beds, a laboratory soil test is the sound starting point. </w:t>
      </w:r>
      <w:r>
        <w:t>It can prevent unnecessary phosphorus or potassium applications and can identify pH problems. In containers, pH and soluble salts can make nutrients unavailable even when fertilizer is present.</w:t>
      </w:r>
    </w:p>
    <w:p>
      <w:pPr>
        <w:pStyle w:val="Heading2"/>
      </w:pPr>
      <w:r>
        <w:t>Safety and Environmental Protection</w:t>
      </w:r>
    </w:p>
    <w:p>
      <w:pPr>
        <w:pStyle w:val="ListBullet"/>
      </w:pPr>
      <w:r>
        <w:rPr>
          <w:b w:val="0"/>
          <w:i w:val="0"/>
        </w:rPr>
        <w:t>Keep fertilizer in its original labeled container, dry, closed, and away from children, pets, food, and seed.</w:t>
      </w:r>
    </w:p>
    <w:p>
      <w:pPr>
        <w:pStyle w:val="ListBullet"/>
      </w:pPr>
      <w:r>
        <w:rPr>
          <w:b w:val="0"/>
          <w:i w:val="0"/>
        </w:rPr>
        <w:t>Wear the protection required by the label; wash hands after use.</w:t>
      </w:r>
    </w:p>
    <w:p>
      <w:pPr>
        <w:pStyle w:val="ListBullet"/>
      </w:pPr>
      <w:r>
        <w:rPr>
          <w:b w:val="0"/>
          <w:i w:val="0"/>
        </w:rPr>
        <w:t>Never guess a concentrate amount. More fertilizer does not mean faster healthy growth.</w:t>
      </w:r>
    </w:p>
    <w:p>
      <w:pPr>
        <w:pStyle w:val="ListBullet"/>
      </w:pPr>
      <w:r>
        <w:rPr>
          <w:b w:val="0"/>
          <w:i w:val="0"/>
        </w:rPr>
        <w:t>Sweep granules from pavement and keep fertilizer out of storm drains, ponds, and streams.</w:t>
      </w:r>
    </w:p>
    <w:p>
      <w:pPr>
        <w:pStyle w:val="ListBullet"/>
      </w:pPr>
      <w:r>
        <w:rPr>
          <w:b w:val="0"/>
          <w:i w:val="0"/>
        </w:rPr>
        <w:t>Do not combine products unless their directions permit it. An ordinary nutrient fertilizer is not a pesticide; combination products containing a pesticide must also follow pesticide labeling.</w:t>
      </w:r>
    </w:p>
    <w:p>
      <w:pPr>
        <w:pStyle w:val="Heading2"/>
      </w:pPr>
      <w:r>
        <w:t>Application Record</w:t>
      </w:r>
    </w:p>
    <w:tbl>
      <w:tblPr>
        <w:tblW w:type="auto" w:w="0"/>
        <w:jc w:val="center"/>
        <w:tblLayout w:type="autofit"/>
        <w:tblLook w:firstColumn="1" w:firstRow="1" w:lastColumn="0" w:lastRow="0" w:noHBand="0" w:noVBand="1" w:val="04A0"/>
      </w:tblPr>
      <w:tblGrid>
        <w:gridCol w:w="2033"/>
        <w:gridCol w:w="2033"/>
        <w:gridCol w:w="2033"/>
        <w:gridCol w:w="2033"/>
        <w:gridCol w:w="2033"/>
      </w:tblGrid>
      <w:tr>
        <w:trPr>
          <w:cantSplit/>
          <w:tblHeader w:val="true"/>
        </w:trPr>
        <w:tc>
          <w:tcPr>
            <w:tcW w:type="dxa" w:w="2033"/>
            <w:vAlign w:val="center"/>
            <w:shd w:fill="E9EDF0"/>
          </w:tcPr>
          <w:p>
            <w:pPr>
              <w:spacing w:after="60"/>
            </w:pPr>
            <w:r>
              <w:rPr>
                <w:b/>
                <w:i w:val="0"/>
                <w:sz w:val="22"/>
              </w:rPr>
              <w:t>Date</w:t>
            </w:r>
          </w:p>
        </w:tc>
        <w:tc>
          <w:tcPr>
            <w:tcW w:type="dxa" w:w="2033"/>
            <w:vAlign w:val="center"/>
            <w:shd w:fill="E9EDF0"/>
          </w:tcPr>
          <w:p>
            <w:pPr>
              <w:spacing w:after="60"/>
            </w:pPr>
            <w:r>
              <w:rPr>
                <w:b/>
                <w:i w:val="0"/>
                <w:sz w:val="22"/>
              </w:rPr>
              <w:t>Plant or group</w:t>
            </w:r>
          </w:p>
        </w:tc>
        <w:tc>
          <w:tcPr>
            <w:tcW w:type="dxa" w:w="2033"/>
            <w:vAlign w:val="center"/>
            <w:shd w:fill="E9EDF0"/>
          </w:tcPr>
          <w:p>
            <w:pPr>
              <w:spacing w:after="60"/>
            </w:pPr>
            <w:r>
              <w:rPr>
                <w:b/>
                <w:i w:val="0"/>
                <w:sz w:val="22"/>
              </w:rPr>
              <w:t>Product and N P K</w:t>
            </w:r>
          </w:p>
        </w:tc>
        <w:tc>
          <w:tcPr>
            <w:tcW w:type="dxa" w:w="2033"/>
            <w:vAlign w:val="center"/>
            <w:shd w:fill="E9EDF0"/>
          </w:tcPr>
          <w:p>
            <w:pPr>
              <w:spacing w:after="60"/>
            </w:pPr>
            <w:r>
              <w:rPr>
                <w:b/>
                <w:i w:val="0"/>
                <w:sz w:val="22"/>
              </w:rPr>
              <w:t>Dose and water volume</w:t>
            </w:r>
          </w:p>
        </w:tc>
        <w:tc>
          <w:tcPr>
            <w:tcW w:type="dxa" w:w="2033"/>
            <w:vAlign w:val="center"/>
            <w:shd w:fill="E9EDF0"/>
          </w:tcPr>
          <w:p>
            <w:pPr>
              <w:spacing w:after="60"/>
            </w:pPr>
            <w:r>
              <w:rPr>
                <w:b/>
                <w:i w:val="0"/>
                <w:sz w:val="22"/>
              </w:rPr>
              <w:t>Result</w:t>
            </w:r>
          </w:p>
        </w:tc>
      </w:tr>
      <w:tr>
        <w:trPr>
          <w:cantSplit/>
        </w:trPr>
        <w:tc>
          <w:tcPr>
            <w:tcW w:type="dxa" w:w="2033"/>
            <w:vAlign w:val="center"/>
            <w:shd w:fill="FFFFFF"/>
          </w:tcPr>
          <w:p>
            <w:pPr>
              <w:spacing w:after="60"/>
            </w:pPr>
          </w:p>
        </w:tc>
        <w:tc>
          <w:tcPr>
            <w:tcW w:type="dxa" w:w="2033"/>
            <w:vAlign w:val="center"/>
            <w:shd w:fill="FFFFFF"/>
          </w:tcPr>
          <w:p>
            <w:pPr>
              <w:spacing w:after="60"/>
            </w:pPr>
          </w:p>
        </w:tc>
        <w:tc>
          <w:tcPr>
            <w:tcW w:type="dxa" w:w="2033"/>
            <w:vAlign w:val="center"/>
            <w:shd w:fill="FFFFFF"/>
          </w:tcPr>
          <w:p>
            <w:pPr>
              <w:spacing w:after="60"/>
            </w:pPr>
          </w:p>
        </w:tc>
        <w:tc>
          <w:tcPr>
            <w:tcW w:type="dxa" w:w="2033"/>
            <w:vAlign w:val="center"/>
            <w:shd w:fill="FFFFFF"/>
          </w:tcPr>
          <w:p>
            <w:pPr>
              <w:spacing w:after="60"/>
            </w:pPr>
          </w:p>
        </w:tc>
        <w:tc>
          <w:tcPr>
            <w:tcW w:type="dxa" w:w="2033"/>
            <w:vAlign w:val="center"/>
            <w:shd w:fill="FFFFFF"/>
          </w:tcPr>
          <w:p>
            <w:pPr>
              <w:spacing w:after="60"/>
            </w:pPr>
          </w:p>
        </w:tc>
      </w:tr>
      <w:tr>
        <w:trPr>
          <w:cantSplit/>
        </w:trPr>
        <w:tc>
          <w:tcPr>
            <w:tcW w:type="dxa" w:w="2033"/>
            <w:vAlign w:val="center"/>
            <w:shd w:fill="FFFFFF"/>
          </w:tcPr>
          <w:p>
            <w:pPr>
              <w:spacing w:after="60"/>
            </w:pPr>
          </w:p>
        </w:tc>
        <w:tc>
          <w:tcPr>
            <w:tcW w:type="dxa" w:w="2033"/>
            <w:vAlign w:val="center"/>
            <w:shd w:fill="FFFFFF"/>
          </w:tcPr>
          <w:p>
            <w:pPr>
              <w:spacing w:after="60"/>
            </w:pPr>
          </w:p>
        </w:tc>
        <w:tc>
          <w:tcPr>
            <w:tcW w:type="dxa" w:w="2033"/>
            <w:vAlign w:val="center"/>
            <w:shd w:fill="FFFFFF"/>
          </w:tcPr>
          <w:p>
            <w:pPr>
              <w:spacing w:after="60"/>
            </w:pPr>
          </w:p>
        </w:tc>
        <w:tc>
          <w:tcPr>
            <w:tcW w:type="dxa" w:w="2033"/>
            <w:vAlign w:val="center"/>
            <w:shd w:fill="FFFFFF"/>
          </w:tcPr>
          <w:p>
            <w:pPr>
              <w:spacing w:after="60"/>
            </w:pPr>
          </w:p>
        </w:tc>
        <w:tc>
          <w:tcPr>
            <w:tcW w:type="dxa" w:w="2033"/>
            <w:vAlign w:val="center"/>
            <w:shd w:fill="FFFFFF"/>
          </w:tcPr>
          <w:p>
            <w:pPr>
              <w:spacing w:after="60"/>
            </w:pPr>
          </w:p>
        </w:tc>
      </w:tr>
    </w:tbl>
    <w:p>
      <w:pPr>
        <w:spacing w:after="20"/>
      </w:pPr>
    </w:p>
    <w:p>
      <w:pPr>
        <w:pStyle w:val="Heading2"/>
      </w:pPr>
      <w:r>
        <w:t>Sources and revision note</w:t>
      </w:r>
    </w:p>
    <w:p>
      <w:hyperlink r:id="rId12">
        <w:r>
          <w:rPr>
            <w:color w:val="245B43"/>
            <w:u w:val="single"/>
          </w:rPr>
          <w:t>University of Georgia Extension: Growing Indoor Plants with Success</w:t>
        </w:r>
      </w:hyperlink>
    </w:p>
    <w:p>
      <w:hyperlink r:id="rId13">
        <w:r>
          <w:rPr>
            <w:color w:val="245B43"/>
            <w:u w:val="single"/>
          </w:rPr>
          <w:t>Whipker, Cavins and Fonteno, NC State: 1, 2, 3s of PourThru</w:t>
        </w:r>
      </w:hyperlink>
    </w:p>
    <w:p>
      <w:r>
        <w:rPr>
          <w:b w:val="0"/>
          <w:i w:val="0"/>
        </w:rPr>
        <w:t xml:space="preserve">Added September 22, 2026 · </w:t>
      </w:r>
      <w:hyperlink r:id="rId14">
        <w:r>
          <w:rPr>
            <w:color w:val="245B43"/>
            <w:u w:val="single"/>
          </w:rPr>
          <w:t>All Information Sheets</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15">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Sharing and image credits</w:t>
      </w:r>
    </w:p>
    <w:p>
      <w:r>
        <w:t>Original Information Sheet text is licensed under Creative Commons Attribution–NonCommercial 4.0 International (CC BY-NC 4.0). Credit James Taylor and the Plant Education Project, link to the source and license, and identify changes. Photographs and other third-party material retain the rights and permissions stated with each image.</w:t>
      </w:r>
    </w:p>
    <w:sectPr w:rsidR="00FC693F" w:rsidRPr="0006063C" w:rsidSect="00034616">
      <w:headerReference w:type="default" r:id="rId9"/>
      <w:footerReference w:type="default" r:id="rId10"/>
      <w:pgSz w:w="12240" w:h="15840"/>
      <w:pgMar w:top="936" w:right="1037" w:bottom="936" w:left="1037"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Plant Education Project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Plant Education Project · Combined Information Sheets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40"/>
    </w:pPr>
    <w:rPr>
      <w:rFonts w:ascii="Arial" w:hAnsi="Arial"/>
      <w:color w:val="19231F"/>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Arial" w:hAnsi="Arial"/>
      <w:b/>
      <w:bCs/>
      <w:color w:val="173F35"/>
      <w:sz w:val="42"/>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Arial" w:hAnsi="Arial"/>
      <w:b/>
      <w:bCs/>
      <w:color w:val="173F35"/>
      <w:sz w:val="34"/>
      <w:szCs w:val="26"/>
    </w:rPr>
  </w:style>
  <w:style w:type="paragraph" w:styleId="Heading3">
    <w:name w:val="heading 3"/>
    <w:basedOn w:val="Normal"/>
    <w:next w:val="Normal"/>
    <w:link w:val="Heading3Char"/>
    <w:uiPriority w:val="9"/>
    <w:unhideWhenUsed/>
    <w:qFormat/>
    <w:rsid w:val="00FC693F"/>
    <w:pPr>
      <w:keepNext/>
      <w:keepLines/>
      <w:spacing w:before="240" w:after="140"/>
      <w:outlineLvl w:val="2"/>
    </w:pPr>
    <w:rPr>
      <w:rFonts w:asciiTheme="majorHAnsi" w:eastAsiaTheme="majorEastAsia" w:hAnsiTheme="majorHAnsi" w:cstheme="majorBidi" w:ascii="Arial" w:hAnsi="Arial"/>
      <w:b/>
      <w:bCs/>
      <w:color w:val="173F35"/>
      <w:sz w:val="3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40" w:lineRule="auto" w:before="240"/>
      <w:contextualSpacing/>
    </w:pPr>
    <w:rPr>
      <w:rFonts w:asciiTheme="majorHAnsi" w:eastAsiaTheme="majorEastAsia" w:hAnsiTheme="majorHAnsi" w:cstheme="majorBidi" w:ascii="Arial" w:hAnsi="Arial"/>
      <w:b/>
      <w:color w:val="173F35"/>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b/>
      <w:bCs/>
      <w:color w:val="46534C"/>
      <w:sz w:val="20"/>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lanteducationproject.com/guides/fertilizer/" TargetMode="External"/><Relationship Id="rId12" Type="http://schemas.openxmlformats.org/officeDocument/2006/relationships/hyperlink" Target="https://fieldreport.caes.uga.edu/publications/B1318/growing-indoor-plants-with-success/" TargetMode="External"/><Relationship Id="rId13" Type="http://schemas.openxmlformats.org/officeDocument/2006/relationships/hyperlink" Target="https://ag.montana.edu/pgc/documents/123s%20of%20PourThru.pdf" TargetMode="External"/><Relationship Id="rId14" Type="http://schemas.openxmlformats.org/officeDocument/2006/relationships/hyperlink" Target="https://planteducationproject.com/information-sheets/master-index/" TargetMode="External"/><Relationship Id="rId15" Type="http://schemas.openxmlformats.org/officeDocument/2006/relationships/hyperlink" Target="https://creativecommons.org/licenses/by-nc/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guides fertilizer Information Sheets</dc:title>
  <dc:subject>Related Information Sheets combined for reading and printing</dc:subject>
  <dc:creator>Plant Education Project</dc:creator>
  <cp:keywords>Plant Education Project, Information Sheets, DOCX</cp:keywords>
  <dc:description>generated by python-docx</dc:description>
  <cp:lastModifiedBy/>
  <cp:revision>1</cp:revision>
  <dcterms:created xsi:type="dcterms:W3CDTF">2013-12-23T23:15:00Z</dcterms:created>
  <dcterms:modified xsi:type="dcterms:W3CDTF">2013-12-23T23:15:00Z</dcterms:modified>
  <cp:category/>
</cp:coreProperties>
</file>