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Choosing Plants for Indoor Conditions</w:t>
      </w:r>
    </w:p>
    <w:p>
      <w:pPr>
        <w:spacing w:after="320"/>
      </w:pPr>
      <w:r>
        <w:t>Combined Information Sheets</w:t>
      </w:r>
    </w:p>
    <w:p>
      <w:pPr>
        <w:pStyle w:val="Heading1"/>
      </w:pPr>
      <w:r>
        <w:t>Choosing Plants for Indoor Conditions</w:t>
      </w:r>
    </w:p>
    <w:p>
      <w:r>
        <w:rPr>
          <w:b/>
        </w:rPr>
        <w:t xml:space="preserve">Online Information Sheet: </w:t>
      </w:r>
      <w:hyperlink r:id="rId11">
        <w:r>
          <w:rPr>
            <w:color w:val="245B43"/>
            <w:u w:val="single"/>
          </w:rPr>
          <w:t>planteducationproject.com/guides/choosing-plants-for-indoor-conditions/</w:t>
        </w:r>
      </w:hyperlink>
    </w:p>
    <w:p>
      <w:r>
        <w:rPr>
          <w:b w:val="0"/>
          <w:i w:val="0"/>
        </w:rPr>
        <w:t>🌿 Information Sheet</w:t>
      </w:r>
    </w:p>
    <w:p>
      <w:r>
        <w:rPr>
          <w:b w:val="0"/>
          <w:i w:val="0"/>
        </w:rPr>
        <w:t>Choose a plant for the conditions you can provide consistently. Window direction is a useful starting clue, but actual light at leaf level, seasonal temperature, humidity, and root-zone drying determine whether the match works.</w:t>
      </w:r>
    </w:p>
    <w:p>
      <w:pPr>
        <w:pStyle w:val="Heading2"/>
      </w:pPr>
      <w:r>
        <w:t>Measure the place before choosing the plant</w:t>
      </w:r>
    </w:p>
    <w:p>
      <w:r>
        <w:rPr>
          <w:b w:val="0"/>
          <w:i w:val="0"/>
        </w:rPr>
        <w:t>Observe the proposed location in morning, midday, and afternoon. Record direct-sun duration, shading by trees or buildings, distance from the glass, nighttime minimum temperature, and exposure to vents or drafts. Repeat in another season: an Indiana winter window is not equivalent to the same window in June.</w:t>
      </w:r>
    </w:p>
    <w:p>
      <w:r>
        <w:rPr>
          <w:b w:val="0"/>
          <w:i w:val="0"/>
        </w:rPr>
        <w:t>A light meter should be used at the position of the leaves. Lux is weighted for human vision; PPFD measures photosynthetically active photon flux. Conversion depends on the light source. A phone app is useful for rough comparisons but is not automatically a calibrated plant-light instrument.</w:t>
      </w:r>
    </w:p>
    <w:p>
      <w:pPr>
        <w:pStyle w:val="Heading2"/>
      </w:pPr>
      <w:r>
        <w:t>Use window direction as a starting hypothesis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Window in the Northern Hemisphere</w:t>
            </w:r>
          </w:p>
        </w:tc>
        <w:tc>
          <w:tcPr>
            <w:tcW w:type="dxa" w:w="3389"/>
            <w:vAlign w:val="center"/>
            <w:shd w:fill="E9EDF0"/>
          </w:tcPr>
          <w:p>
            <w:pPr>
              <w:spacing w:after="60"/>
            </w:pPr>
            <w:r>
              <w:rPr>
                <w:b/>
                <w:i w:val="0"/>
                <w:sz w:val="22"/>
              </w:rPr>
              <w:t>Typical opportunity</w:t>
            </w:r>
          </w:p>
        </w:tc>
        <w:tc>
          <w:tcPr>
            <w:tcW w:type="dxa" w:w="3389"/>
            <w:vAlign w:val="center"/>
            <w:shd w:fill="E9EDF0"/>
          </w:tcPr>
          <w:p>
            <w:pPr>
              <w:spacing w:after="60"/>
            </w:pPr>
            <w:r>
              <w:rPr>
                <w:b/>
                <w:i w:val="0"/>
                <w:sz w:val="22"/>
              </w:rPr>
              <w:t>Main caution</w:t>
            </w:r>
          </w:p>
        </w:tc>
      </w:tr>
      <w:tr>
        <w:trPr>
          <w:cantSplit/>
        </w:trPr>
        <w:tc>
          <w:tcPr>
            <w:tcW w:type="dxa" w:w="3389"/>
            <w:vAlign w:val="center"/>
            <w:shd w:fill="FFFFFF"/>
          </w:tcPr>
          <w:p>
            <w:pPr>
              <w:spacing w:after="60"/>
            </w:pPr>
            <w:r>
              <w:rPr>
                <w:b/>
                <w:i w:val="0"/>
                <w:sz w:val="22"/>
              </w:rPr>
              <w:t>North</w:t>
            </w:r>
          </w:p>
        </w:tc>
        <w:tc>
          <w:tcPr>
            <w:tcW w:type="dxa" w:w="3389"/>
            <w:vAlign w:val="center"/>
            <w:shd w:fill="FFFFFF"/>
          </w:tcPr>
          <w:p>
            <w:pPr>
              <w:spacing w:after="60"/>
            </w:pPr>
            <w:r>
              <w:rPr>
                <w:b w:val="0"/>
                <w:i w:val="0"/>
                <w:sz w:val="22"/>
              </w:rPr>
              <w:t>Diffuse light; useful for tolerant foliage plants if unobstructed.</w:t>
            </w:r>
          </w:p>
        </w:tc>
        <w:tc>
          <w:tcPr>
            <w:tcW w:type="dxa" w:w="3389"/>
            <w:vAlign w:val="center"/>
            <w:shd w:fill="FFFFFF"/>
          </w:tcPr>
          <w:p>
            <w:pPr>
              <w:spacing w:after="60"/>
            </w:pPr>
            <w:r>
              <w:rPr>
                <w:b w:val="0"/>
                <w:i w:val="0"/>
                <w:sz w:val="22"/>
              </w:rPr>
              <w:t>Often insufficient for flowering or sun-demanding succulents.</w:t>
            </w:r>
          </w:p>
        </w:tc>
      </w:tr>
      <w:tr>
        <w:trPr>
          <w:cantSplit/>
        </w:trPr>
        <w:tc>
          <w:tcPr>
            <w:tcW w:type="dxa" w:w="3389"/>
            <w:vAlign w:val="center"/>
            <w:shd w:fill="FFFFFF"/>
          </w:tcPr>
          <w:p>
            <w:pPr>
              <w:spacing w:after="60"/>
            </w:pPr>
            <w:r>
              <w:rPr>
                <w:b/>
                <w:i w:val="0"/>
                <w:sz w:val="22"/>
              </w:rPr>
              <w:t>East</w:t>
            </w:r>
          </w:p>
        </w:tc>
        <w:tc>
          <w:tcPr>
            <w:tcW w:type="dxa" w:w="3389"/>
            <w:vAlign w:val="center"/>
            <w:shd w:fill="FFFFFF"/>
          </w:tcPr>
          <w:p>
            <w:pPr>
              <w:spacing w:after="60"/>
            </w:pPr>
            <w:r>
              <w:rPr>
                <w:b w:val="0"/>
                <w:i w:val="0"/>
                <w:sz w:val="22"/>
              </w:rPr>
              <w:t>Morning sun followed by gentler light.</w:t>
            </w:r>
          </w:p>
        </w:tc>
        <w:tc>
          <w:tcPr>
            <w:tcW w:type="dxa" w:w="3389"/>
            <w:vAlign w:val="center"/>
            <w:shd w:fill="FFFFFF"/>
          </w:tcPr>
          <w:p>
            <w:pPr>
              <w:spacing w:after="60"/>
            </w:pPr>
            <w:r>
              <w:rPr>
                <w:b w:val="0"/>
                <w:i w:val="0"/>
                <w:sz w:val="22"/>
              </w:rPr>
              <w:t>Nearby trees or buildings can remove most of the useful exposure.</w:t>
            </w:r>
          </w:p>
        </w:tc>
      </w:tr>
      <w:tr>
        <w:trPr>
          <w:cantSplit/>
        </w:trPr>
        <w:tc>
          <w:tcPr>
            <w:tcW w:type="dxa" w:w="3389"/>
            <w:vAlign w:val="center"/>
            <w:shd w:fill="FFFFFF"/>
          </w:tcPr>
          <w:p>
            <w:pPr>
              <w:spacing w:after="60"/>
            </w:pPr>
            <w:r>
              <w:rPr>
                <w:b/>
                <w:i w:val="0"/>
                <w:sz w:val="22"/>
              </w:rPr>
              <w:t>South</w:t>
            </w:r>
          </w:p>
        </w:tc>
        <w:tc>
          <w:tcPr>
            <w:tcW w:type="dxa" w:w="3389"/>
            <w:vAlign w:val="center"/>
            <w:shd w:fill="FFFFFF"/>
          </w:tcPr>
          <w:p>
            <w:pPr>
              <w:spacing w:after="60"/>
            </w:pPr>
            <w:r>
              <w:rPr>
                <w:b w:val="0"/>
                <w:i w:val="0"/>
                <w:sz w:val="22"/>
              </w:rPr>
              <w:t>Potentially strong light, especially in winter.</w:t>
            </w:r>
          </w:p>
        </w:tc>
        <w:tc>
          <w:tcPr>
            <w:tcW w:type="dxa" w:w="3389"/>
            <w:vAlign w:val="center"/>
            <w:shd w:fill="FFFFFF"/>
          </w:tcPr>
          <w:p>
            <w:pPr>
              <w:spacing w:after="60"/>
            </w:pPr>
            <w:r>
              <w:rPr>
                <w:b w:val="0"/>
                <w:i w:val="0"/>
                <w:sz w:val="22"/>
              </w:rPr>
              <w:t>Glass, overhangs, heat, and acclimation change the practical result.</w:t>
            </w:r>
          </w:p>
        </w:tc>
      </w:tr>
      <w:tr>
        <w:trPr>
          <w:cantSplit/>
        </w:trPr>
        <w:tc>
          <w:tcPr>
            <w:tcW w:type="dxa" w:w="3389"/>
            <w:vAlign w:val="center"/>
            <w:shd w:fill="FFFFFF"/>
          </w:tcPr>
          <w:p>
            <w:pPr>
              <w:spacing w:after="60"/>
            </w:pPr>
            <w:r>
              <w:rPr>
                <w:b/>
                <w:i w:val="0"/>
                <w:sz w:val="22"/>
              </w:rPr>
              <w:t>West</w:t>
            </w:r>
          </w:p>
        </w:tc>
        <w:tc>
          <w:tcPr>
            <w:tcW w:type="dxa" w:w="3389"/>
            <w:vAlign w:val="center"/>
            <w:shd w:fill="FFFFFF"/>
          </w:tcPr>
          <w:p>
            <w:pPr>
              <w:spacing w:after="60"/>
            </w:pPr>
            <w:r>
              <w:rPr>
                <w:b w:val="0"/>
                <w:i w:val="0"/>
                <w:sz w:val="22"/>
              </w:rPr>
              <w:t>Strong afternoon light and heat.</w:t>
            </w:r>
          </w:p>
        </w:tc>
        <w:tc>
          <w:tcPr>
            <w:tcW w:type="dxa" w:w="3389"/>
            <w:vAlign w:val="center"/>
            <w:shd w:fill="FFFFFF"/>
          </w:tcPr>
          <w:p>
            <w:pPr>
              <w:spacing w:after="60"/>
            </w:pPr>
            <w:r>
              <w:rPr>
                <w:b w:val="0"/>
                <w:i w:val="0"/>
                <w:sz w:val="22"/>
              </w:rPr>
              <w:t>Tender foliage can scorch; leaf temperature may exceed room temperature.</w:t>
            </w:r>
          </w:p>
        </w:tc>
      </w:tr>
    </w:tbl>
    <w:p>
      <w:pPr>
        <w:spacing w:after="20"/>
      </w:pPr>
    </w:p>
    <w:p>
      <w:pPr>
        <w:pStyle w:val="Heading2"/>
      </w:pPr>
      <w:r>
        <w:t>Match plant groups to the measured environment</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Condition</w:t>
            </w:r>
          </w:p>
        </w:tc>
        <w:tc>
          <w:tcPr>
            <w:tcW w:type="dxa" w:w="3389"/>
            <w:vAlign w:val="center"/>
            <w:shd w:fill="E9EDF0"/>
          </w:tcPr>
          <w:p>
            <w:pPr>
              <w:spacing w:after="60"/>
            </w:pPr>
            <w:r>
              <w:rPr>
                <w:b/>
                <w:i w:val="0"/>
                <w:sz w:val="22"/>
              </w:rPr>
              <w:t>Candidates to investigate</w:t>
            </w:r>
          </w:p>
        </w:tc>
        <w:tc>
          <w:tcPr>
            <w:tcW w:type="dxa" w:w="3389"/>
            <w:vAlign w:val="center"/>
            <w:shd w:fill="E9EDF0"/>
          </w:tcPr>
          <w:p>
            <w:pPr>
              <w:spacing w:after="60"/>
            </w:pPr>
            <w:r>
              <w:rPr>
                <w:b/>
                <w:i w:val="0"/>
                <w:sz w:val="22"/>
              </w:rPr>
              <w:t>Care implication</w:t>
            </w:r>
          </w:p>
        </w:tc>
      </w:tr>
      <w:tr>
        <w:trPr>
          <w:cantSplit/>
        </w:trPr>
        <w:tc>
          <w:tcPr>
            <w:tcW w:type="dxa" w:w="3389"/>
            <w:vAlign w:val="center"/>
            <w:shd w:fill="FFFFFF"/>
          </w:tcPr>
          <w:p>
            <w:pPr>
              <w:spacing w:after="60"/>
            </w:pPr>
            <w:r>
              <w:rPr>
                <w:b/>
                <w:i w:val="0"/>
                <w:sz w:val="22"/>
              </w:rPr>
              <w:t>Modest indirect light</w:t>
            </w:r>
          </w:p>
        </w:tc>
        <w:tc>
          <w:tcPr>
            <w:tcW w:type="dxa" w:w="3389"/>
            <w:vAlign w:val="center"/>
            <w:shd w:fill="FFFFFF"/>
          </w:tcPr>
          <w:p>
            <w:pPr>
              <w:spacing w:after="60"/>
            </w:pPr>
            <w:r>
              <w:rPr>
                <w:b w:val="0"/>
                <w:i w:val="0"/>
                <w:sz w:val="22"/>
              </w:rPr>
              <w:t>Green Aglaonema, cast-iron plant, or selected shade-tolerant foliage plants.</w:t>
            </w:r>
          </w:p>
        </w:tc>
        <w:tc>
          <w:tcPr>
            <w:tcW w:type="dxa" w:w="3389"/>
            <w:vAlign w:val="center"/>
            <w:shd w:fill="FFFFFF"/>
          </w:tcPr>
          <w:p>
            <w:pPr>
              <w:spacing w:after="60"/>
            </w:pPr>
            <w:r>
              <w:rPr>
                <w:b w:val="0"/>
                <w:i w:val="0"/>
                <w:sz w:val="22"/>
              </w:rPr>
              <w:t>Tolerance is not a promise of vigorous growth in a dark room; water use usually falls.</w:t>
            </w:r>
          </w:p>
        </w:tc>
      </w:tr>
      <w:tr>
        <w:trPr>
          <w:cantSplit/>
        </w:trPr>
        <w:tc>
          <w:tcPr>
            <w:tcW w:type="dxa" w:w="3389"/>
            <w:vAlign w:val="center"/>
            <w:shd w:fill="FFFFFF"/>
          </w:tcPr>
          <w:p>
            <w:pPr>
              <w:spacing w:after="60"/>
            </w:pPr>
            <w:r>
              <w:rPr>
                <w:b/>
                <w:i w:val="0"/>
                <w:sz w:val="22"/>
              </w:rPr>
              <w:t>Bright filtered light</w:t>
            </w:r>
          </w:p>
        </w:tc>
        <w:tc>
          <w:tcPr>
            <w:tcW w:type="dxa" w:w="3389"/>
            <w:vAlign w:val="center"/>
            <w:shd w:fill="FFFFFF"/>
          </w:tcPr>
          <w:p>
            <w:pPr>
              <w:spacing w:after="60"/>
            </w:pPr>
            <w:r>
              <w:rPr>
                <w:b w:val="0"/>
                <w:i w:val="0"/>
                <w:sz w:val="22"/>
              </w:rPr>
              <w:t>Many tropical foliage plants, moth orchids, and forest cacti.</w:t>
            </w:r>
          </w:p>
        </w:tc>
        <w:tc>
          <w:tcPr>
            <w:tcW w:type="dxa" w:w="3389"/>
            <w:vAlign w:val="center"/>
            <w:shd w:fill="FFFFFF"/>
          </w:tcPr>
          <w:p>
            <w:pPr>
              <w:spacing w:after="60"/>
            </w:pPr>
            <w:r>
              <w:rPr>
                <w:b w:val="0"/>
                <w:i w:val="0"/>
                <w:sz w:val="22"/>
              </w:rPr>
              <w:t>Protect from abrupt intense sun; provide aerated roots.</w:t>
            </w:r>
          </w:p>
        </w:tc>
      </w:tr>
      <w:tr>
        <w:trPr>
          <w:cantSplit/>
        </w:trPr>
        <w:tc>
          <w:tcPr>
            <w:tcW w:type="dxa" w:w="3389"/>
            <w:vAlign w:val="center"/>
            <w:shd w:fill="FFFFFF"/>
          </w:tcPr>
          <w:p>
            <w:pPr>
              <w:spacing w:after="60"/>
            </w:pPr>
            <w:r>
              <w:rPr>
                <w:b/>
                <w:i w:val="0"/>
                <w:sz w:val="22"/>
              </w:rPr>
              <w:t>Strong light with careful acclimation</w:t>
            </w:r>
          </w:p>
        </w:tc>
        <w:tc>
          <w:tcPr>
            <w:tcW w:type="dxa" w:w="3389"/>
            <w:vAlign w:val="center"/>
            <w:shd w:fill="FFFFFF"/>
          </w:tcPr>
          <w:p>
            <w:pPr>
              <w:spacing w:after="60"/>
            </w:pPr>
            <w:r>
              <w:rPr>
                <w:b w:val="0"/>
                <w:i w:val="0"/>
                <w:sz w:val="22"/>
              </w:rPr>
              <w:t>Many desert cacti and sun-adapted succulents.</w:t>
            </w:r>
          </w:p>
        </w:tc>
        <w:tc>
          <w:tcPr>
            <w:tcW w:type="dxa" w:w="3389"/>
            <w:vAlign w:val="center"/>
            <w:shd w:fill="FFFFFF"/>
          </w:tcPr>
          <w:p>
            <w:pPr>
              <w:spacing w:after="60"/>
            </w:pPr>
            <w:r>
              <w:rPr>
                <w:b w:val="0"/>
                <w:i w:val="0"/>
                <w:sz w:val="22"/>
              </w:rPr>
              <w:t>Verify species-specific winter and water requirements.</w:t>
            </w:r>
          </w:p>
        </w:tc>
      </w:tr>
      <w:tr>
        <w:trPr>
          <w:cantSplit/>
        </w:trPr>
        <w:tc>
          <w:tcPr>
            <w:tcW w:type="dxa" w:w="3389"/>
            <w:vAlign w:val="center"/>
            <w:shd w:fill="FFFFFF"/>
          </w:tcPr>
          <w:p>
            <w:pPr>
              <w:spacing w:after="60"/>
            </w:pPr>
            <w:r>
              <w:rPr>
                <w:b/>
                <w:i w:val="0"/>
                <w:sz w:val="22"/>
              </w:rPr>
              <w:t>Warm humid growing space</w:t>
            </w:r>
          </w:p>
        </w:tc>
        <w:tc>
          <w:tcPr>
            <w:tcW w:type="dxa" w:w="3389"/>
            <w:vAlign w:val="center"/>
            <w:shd w:fill="FFFFFF"/>
          </w:tcPr>
          <w:p>
            <w:pPr>
              <w:spacing w:after="60"/>
            </w:pPr>
            <w:r>
              <w:rPr>
                <w:b w:val="0"/>
                <w:i w:val="0"/>
                <w:sz w:val="22"/>
              </w:rPr>
              <w:t>Selected tropical ferns and moisture-loving plants.</w:t>
            </w:r>
          </w:p>
        </w:tc>
        <w:tc>
          <w:tcPr>
            <w:tcW w:type="dxa" w:w="3389"/>
            <w:vAlign w:val="center"/>
            <w:shd w:fill="FFFFFF"/>
          </w:tcPr>
          <w:p>
            <w:pPr>
              <w:spacing w:after="60"/>
            </w:pPr>
            <w:r>
              <w:rPr>
                <w:b w:val="0"/>
                <w:i w:val="0"/>
                <w:sz w:val="22"/>
              </w:rPr>
              <w:t>Maintain air movement; humidity does not justify saturated roots.</w:t>
            </w:r>
          </w:p>
        </w:tc>
      </w:tr>
      <w:tr>
        <w:trPr>
          <w:cantSplit/>
        </w:trPr>
        <w:tc>
          <w:tcPr>
            <w:tcW w:type="dxa" w:w="3389"/>
            <w:vAlign w:val="center"/>
            <w:shd w:fill="FFFFFF"/>
          </w:tcPr>
          <w:p>
            <w:pPr>
              <w:spacing w:after="60"/>
            </w:pPr>
            <w:r>
              <w:rPr>
                <w:b/>
                <w:i w:val="0"/>
                <w:sz w:val="22"/>
              </w:rPr>
              <w:t>Cool winter room</w:t>
            </w:r>
          </w:p>
        </w:tc>
        <w:tc>
          <w:tcPr>
            <w:tcW w:type="dxa" w:w="3389"/>
            <w:vAlign w:val="center"/>
            <w:shd w:fill="FFFFFF"/>
          </w:tcPr>
          <w:p>
            <w:pPr>
              <w:spacing w:after="60"/>
            </w:pPr>
            <w:r>
              <w:rPr>
                <w:b w:val="0"/>
                <w:i w:val="0"/>
                <w:sz w:val="22"/>
              </w:rPr>
              <w:t>Only species with suitable temperature tolerance.</w:t>
            </w:r>
          </w:p>
        </w:tc>
        <w:tc>
          <w:tcPr>
            <w:tcW w:type="dxa" w:w="3389"/>
            <w:vAlign w:val="center"/>
            <w:shd w:fill="FFFFFF"/>
          </w:tcPr>
          <w:p>
            <w:pPr>
              <w:spacing w:after="60"/>
            </w:pPr>
            <w:r>
              <w:rPr>
                <w:b w:val="0"/>
                <w:i w:val="0"/>
                <w:sz w:val="22"/>
              </w:rPr>
              <w:t>Check the actual night minimum near the glass.</w:t>
            </w:r>
          </w:p>
        </w:tc>
      </w:tr>
    </w:tbl>
    <w:p>
      <w:pPr>
        <w:spacing w:after="20"/>
      </w:pPr>
    </w:p>
    <w:p>
      <w:pPr>
        <w:pStyle w:val="Heading2"/>
      </w:pPr>
      <w:r>
        <w:t>Humidity and watering solve different problems</w:t>
      </w:r>
    </w:p>
    <w:p>
      <w:r>
        <w:rPr>
          <w:b w:val="0"/>
          <w:i w:val="0"/>
        </w:rPr>
        <w:t>Humidity describes water vapor in air; watering supplies the root zone. A wet pot cannot safely compensate for dry air. Conversely, humid air does not guarantee that roots have water. Use a hygrometer and inspect the medium separately.</w:t>
      </w:r>
    </w:p>
    <w:p>
      <w:r>
        <w:rPr>
          <w:b w:val="0"/>
          <w:i w:val="0"/>
        </w:rPr>
        <w:t>Grouping plants may modestly alter their immediate environment. Pebble trays and occasional misting have limited ability to control room humidity. A humidifier changes the room more effectively but requires cleaning and attention to condensation and mold.</w:t>
      </w:r>
    </w:p>
    <w:p>
      <w:pPr>
        <w:pStyle w:val="Heading2"/>
      </w:pPr>
      <w:r>
        <w:t>Make one change then observe</w:t>
      </w:r>
    </w:p>
    <w:p>
      <w:r>
        <w:rPr>
          <w:b w:val="0"/>
          <w:i w:val="0"/>
        </w:rPr>
        <w:t>Acclimate a plant gradually when increasing sunlight. Check for stretch, smaller new leaves, bleaching, bud loss, or prolonged wetness. Rotate for balanced growth when appropriate, and reassess water use as light changes.</w:t>
      </w:r>
    </w:p>
    <w:p>
      <w:r>
        <w:rPr>
          <w:b w:val="0"/>
          <w:i w:val="0"/>
        </w:rPr>
        <w:t>Keep a simple two-week record of placement, temperature, moisture before watering, and new growth. Choose a different species or add suitable lighting if the site cannot meet the plant’s needs. Fertilizer cannot replace light.</w:t>
      </w:r>
    </w:p>
    <w:p>
      <w:pPr>
        <w:pStyle w:val="Heading2"/>
      </w:pPr>
      <w:r>
        <w:t>Related Information Sheets</w:t>
      </w:r>
    </w:p>
    <w:p>
      <w:hyperlink r:id="rId12">
        <w:r>
          <w:rPr>
            <w:color w:val="245B43"/>
            <w:u w:val="single"/>
          </w:rPr>
          <w:t>Botany Information Sheet - Stomata</w:t>
        </w:r>
      </w:hyperlink>
    </w:p>
    <w:p>
      <w:hyperlink r:id="rId13">
        <w:r>
          <w:rPr>
            <w:color w:val="245B43"/>
            <w:u w:val="single"/>
          </w:rPr>
          <w:t>Plant Health Information Sheet - Plant Disease Diagnosis</w:t>
        </w:r>
      </w:hyperlink>
    </w:p>
    <w:p>
      <w:pPr>
        <w:pStyle w:val="Heading2"/>
      </w:pPr>
      <w:r>
        <w:t>Sources and further reading</w:t>
      </w:r>
    </w:p>
    <w:p>
      <w:hyperlink r:id="rId14">
        <w:r>
          <w:rPr>
            <w:color w:val="245B43"/>
            <w:u w:val="single"/>
          </w:rPr>
          <w:t>University of Minnesota Extension Lighting for Indoor Plants</w:t>
        </w:r>
      </w:hyperlink>
    </w:p>
    <w:p>
      <w:hyperlink r:id="rId15">
        <w:r>
          <w:rPr>
            <w:color w:val="245B43"/>
            <w:u w:val="single"/>
          </w:rPr>
          <w:t>University of Georgia Extension Growing Indoor Plants with Success</w:t>
        </w:r>
      </w:hyperlink>
    </w:p>
    <w:p>
      <w:hyperlink r:id="rId16">
        <w:r>
          <w:rPr>
            <w:color w:val="245B43"/>
            <w:u w:val="single"/>
          </w:rPr>
          <w:t>NC State Extension Gardener Plant Toolbox</w:t>
        </w:r>
      </w:hyperlink>
    </w:p>
    <w:p>
      <w:r>
        <w:rPr>
          <w:b w:val="0"/>
          <w:i w:val="0"/>
        </w:rPr>
        <w:t xml:space="preserve">Added September 22, 2026 · </w:t>
      </w:r>
      <w:hyperlink r:id="rId17">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choosing-plants-for-indoor-conditions/" TargetMode="External"/><Relationship Id="rId12" Type="http://schemas.openxmlformats.org/officeDocument/2006/relationships/hyperlink" Target="https://planteducationproject.com/learn/stomata/" TargetMode="External"/><Relationship Id="rId13" Type="http://schemas.openxmlformats.org/officeDocument/2006/relationships/hyperlink" Target="https://planteducationproject.com/guides/plant-disease-diagnosis/" TargetMode="External"/><Relationship Id="rId14" Type="http://schemas.openxmlformats.org/officeDocument/2006/relationships/hyperlink" Target="https://extension.umn.edu/planting-and-growing-guides/lighting-indoor-plants" TargetMode="External"/><Relationship Id="rId15" Type="http://schemas.openxmlformats.org/officeDocument/2006/relationships/hyperlink" Target="https://extension.uga.edu/publications/detail.html?number=B1318" TargetMode="External"/><Relationship Id="rId16" Type="http://schemas.openxmlformats.org/officeDocument/2006/relationships/hyperlink" Target="https://plants.ces.ncsu.edu/" TargetMode="External"/><Relationship Id="rId17" Type="http://schemas.openxmlformats.org/officeDocument/2006/relationships/hyperlink" Target="https://planteducationproject.com/information-sheets/master-index/" TargetMode="External"/><Relationship Id="rId18"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choosing plants for indoor conditions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