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Cactus Soil Standard Mix</w:t>
      </w:r>
    </w:p>
    <w:p>
      <w:pPr>
        <w:spacing w:after="320"/>
      </w:pPr>
      <w:r>
        <w:t>Combined Information Sheets</w:t>
      </w:r>
    </w:p>
    <w:p>
      <w:pPr>
        <w:pStyle w:val="Heading1"/>
      </w:pPr>
      <w:r>
        <w:t>Cactus Soil Standard Mix</w:t>
      </w:r>
    </w:p>
    <w:p>
      <w:r>
        <w:rPr>
          <w:b/>
        </w:rPr>
        <w:t xml:space="preserve">Online Information Sheet: </w:t>
      </w:r>
      <w:hyperlink r:id="rId11">
        <w:r>
          <w:rPr>
            <w:color w:val="245B43"/>
            <w:u w:val="single"/>
          </w:rPr>
          <w:t>planteducationproject.com/guides/cactus-soil-standard-mix/</w:t>
        </w:r>
      </w:hyperlink>
    </w:p>
    <w:p>
      <w:r>
        <w:rPr>
          <w:b w:val="0"/>
          <w:i w:val="0"/>
        </w:rPr>
        <w:t>🌿 Information Sheet</w:t>
      </w:r>
    </w:p>
    <w:p>
      <w:pPr>
        <w:pStyle w:val="Heading2"/>
      </w:pPr>
      <w:r>
        <w:t>Jim Standard Desert Cactus Mix</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Component</w:t>
            </w:r>
          </w:p>
        </w:tc>
        <w:tc>
          <w:tcPr>
            <w:tcW w:type="dxa" w:w="3389"/>
            <w:vAlign w:val="center"/>
            <w:shd w:fill="E9EDF0"/>
          </w:tcPr>
          <w:p>
            <w:pPr>
              <w:spacing w:after="60"/>
            </w:pPr>
            <w:r>
              <w:rPr>
                <w:b/>
                <w:i w:val="0"/>
                <w:sz w:val="22"/>
              </w:rPr>
              <w:t>Standard</w:t>
            </w:r>
          </w:p>
        </w:tc>
        <w:tc>
          <w:tcPr>
            <w:tcW w:type="dxa" w:w="3389"/>
            <w:vAlign w:val="center"/>
            <w:shd w:fill="E9EDF0"/>
          </w:tcPr>
          <w:p>
            <w:pPr>
              <w:spacing w:after="60"/>
            </w:pPr>
            <w:r>
              <w:rPr>
                <w:b/>
                <w:i w:val="0"/>
                <w:sz w:val="22"/>
              </w:rPr>
              <w:t>Purpose</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1 part</w:t>
            </w:r>
          </w:p>
        </w:tc>
        <w:tc>
          <w:tcPr>
            <w:tcW w:type="dxa" w:w="3389"/>
            <w:vAlign w:val="center"/>
            <w:shd w:fill="FFFFFF"/>
          </w:tcPr>
          <w:p>
            <w:pPr>
              <w:spacing w:after="60"/>
            </w:pPr>
            <w:r>
              <w:rPr>
                <w:b w:val="0"/>
                <w:i w:val="0"/>
                <w:sz w:val="22"/>
              </w:rPr>
              <w:t>Small organic fraction; moisture and nutrient holding</w:t>
            </w:r>
          </w:p>
        </w:tc>
      </w:tr>
      <w:tr>
        <w:trPr>
          <w:cantSplit/>
        </w:trPr>
        <w:tc>
          <w:tcPr>
            <w:tcW w:type="dxa" w:w="3389"/>
            <w:vAlign w:val="center"/>
            <w:shd w:fill="FFFFFF"/>
          </w:tcPr>
          <w:p>
            <w:pPr>
              <w:spacing w:after="60"/>
            </w:pPr>
            <w:r>
              <w:rPr>
                <w:b/>
                <w:i w:val="0"/>
                <w:sz w:val="22"/>
              </w:rPr>
              <w:t>Granite chicken grit</w:t>
            </w:r>
          </w:p>
        </w:tc>
        <w:tc>
          <w:tcPr>
            <w:tcW w:type="dxa" w:w="3389"/>
            <w:vAlign w:val="center"/>
            <w:shd w:fill="FFFFFF"/>
          </w:tcPr>
          <w:p>
            <w:pPr>
              <w:spacing w:after="60"/>
            </w:pPr>
            <w:r>
              <w:rPr>
                <w:b w:val="0"/>
                <w:i w:val="0"/>
                <w:sz w:val="22"/>
              </w:rPr>
              <w:t>2 parts</w:t>
            </w:r>
          </w:p>
        </w:tc>
        <w:tc>
          <w:tcPr>
            <w:tcW w:type="dxa" w:w="3389"/>
            <w:vAlign w:val="center"/>
            <w:shd w:fill="FFFFFF"/>
          </w:tcPr>
          <w:p>
            <w:pPr>
              <w:spacing w:after="60"/>
            </w:pPr>
            <w:r>
              <w:rPr>
                <w:b w:val="0"/>
                <w:i w:val="0"/>
                <w:sz w:val="22"/>
              </w:rPr>
              <w:t>Primary structure; drainage, aeration and pore stability</w:t>
            </w:r>
          </w:p>
        </w:tc>
      </w:tr>
    </w:tbl>
    <w:p>
      <w:pPr>
        <w:spacing w:after="20"/>
      </w:pPr>
    </w:p>
    <w:p>
      <w:r>
        <w:rPr>
          <w:b w:val="0"/>
          <w:i w:val="0"/>
        </w:rPr>
        <w:t>Stock Standard recipe: 1 part generic potting soil + 2 parts granite chicken grit, by volume. A species-specific 1 part generic potting soil + 3 parts granite chicken grit variation may be used when the root zone otherwise dries too slowly. This is a variation, not the default.</w:t>
      </w:r>
    </w:p>
    <w:p>
      <w:r>
        <w:rPr>
          <w:b/>
          <w:i w:val="0"/>
        </w:rPr>
        <w:t xml:space="preserve">Design target: </w:t>
      </w:r>
      <w:r>
        <w:t>a mineral-dominant, open substrate that drains promptly after a thorough watering and then regains air-filled pore space.</w:t>
      </w:r>
    </w:p>
    <w:p>
      <w:pPr>
        <w:pStyle w:val="Heading2"/>
      </w:pPr>
      <w:r>
        <w:t>What Each Fraction Does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val="0"/>
                <w:sz w:val="22"/>
              </w:rPr>
              <w:t>Material</w:t>
            </w:r>
          </w:p>
        </w:tc>
        <w:tc>
          <w:tcPr>
            <w:tcW w:type="dxa" w:w="2541"/>
            <w:vAlign w:val="center"/>
            <w:shd w:fill="E9EDF0"/>
          </w:tcPr>
          <w:p>
            <w:pPr>
              <w:spacing w:after="60"/>
            </w:pPr>
            <w:r>
              <w:rPr>
                <w:b/>
                <w:i w:val="0"/>
                <w:sz w:val="22"/>
              </w:rPr>
              <w:t>Drainage</w:t>
            </w:r>
          </w:p>
        </w:tc>
        <w:tc>
          <w:tcPr>
            <w:tcW w:type="dxa" w:w="2541"/>
            <w:vAlign w:val="center"/>
            <w:shd w:fill="E9EDF0"/>
          </w:tcPr>
          <w:p>
            <w:pPr>
              <w:spacing w:after="60"/>
            </w:pPr>
            <w:r>
              <w:rPr>
                <w:b/>
                <w:i w:val="0"/>
                <w:sz w:val="22"/>
              </w:rPr>
              <w:t>Water holding</w:t>
            </w:r>
          </w:p>
        </w:tc>
        <w:tc>
          <w:tcPr>
            <w:tcW w:type="dxa" w:w="2541"/>
            <w:vAlign w:val="center"/>
            <w:shd w:fill="E9EDF0"/>
          </w:tcPr>
          <w:p>
            <w:pPr>
              <w:spacing w:after="60"/>
            </w:pPr>
            <w:r>
              <w:rPr>
                <w:b/>
                <w:i w:val="0"/>
                <w:sz w:val="22"/>
              </w:rPr>
              <w:t>Notes</w:t>
            </w:r>
          </w:p>
        </w:tc>
      </w:tr>
      <w:tr>
        <w:trPr>
          <w:cantSplit/>
        </w:trPr>
        <w:tc>
          <w:tcPr>
            <w:tcW w:type="dxa" w:w="2541"/>
            <w:vAlign w:val="center"/>
            <w:shd w:fill="FFFFFF"/>
          </w:tcPr>
          <w:p>
            <w:pPr>
              <w:spacing w:after="60"/>
            </w:pPr>
            <w:r>
              <w:rPr>
                <w:b/>
                <w:i w:val="0"/>
                <w:sz w:val="22"/>
              </w:rPr>
              <w:t>Potting soil</w:t>
            </w:r>
          </w:p>
        </w:tc>
        <w:tc>
          <w:tcPr>
            <w:tcW w:type="dxa" w:w="2541"/>
            <w:vAlign w:val="center"/>
            <w:shd w:fill="FFFFFF"/>
          </w:tcPr>
          <w:p>
            <w:pPr>
              <w:spacing w:after="60"/>
            </w:pPr>
            <w:r>
              <w:rPr>
                <w:b w:val="0"/>
                <w:i w:val="0"/>
                <w:sz w:val="22"/>
              </w:rPr>
              <w:t>Low–moderate</w:t>
            </w:r>
          </w:p>
        </w:tc>
        <w:tc>
          <w:tcPr>
            <w:tcW w:type="dxa" w:w="2541"/>
            <w:vAlign w:val="center"/>
            <w:shd w:fill="FFFFFF"/>
          </w:tcPr>
          <w:p>
            <w:pPr>
              <w:spacing w:after="60"/>
            </w:pPr>
            <w:r>
              <w:rPr>
                <w:b w:val="0"/>
                <w:i w:val="0"/>
                <w:sz w:val="22"/>
              </w:rPr>
              <w:t>Moderate–high</w:t>
            </w:r>
          </w:p>
        </w:tc>
        <w:tc>
          <w:tcPr>
            <w:tcW w:type="dxa" w:w="2541"/>
            <w:vAlign w:val="center"/>
            <w:shd w:fill="FFFFFF"/>
          </w:tcPr>
          <w:p>
            <w:pPr>
              <w:spacing w:after="60"/>
            </w:pPr>
            <w:r>
              <w:rPr>
                <w:b w:val="0"/>
                <w:i w:val="0"/>
                <w:sz w:val="22"/>
              </w:rPr>
              <w:t>Fine fraction; too much can collapse pore space.</w:t>
            </w:r>
          </w:p>
        </w:tc>
      </w:tr>
      <w:tr>
        <w:trPr>
          <w:cantSplit/>
        </w:trPr>
        <w:tc>
          <w:tcPr>
            <w:tcW w:type="dxa" w:w="2541"/>
            <w:vAlign w:val="center"/>
            <w:shd w:fill="FFFFFF"/>
          </w:tcPr>
          <w:p>
            <w:pPr>
              <w:spacing w:after="60"/>
            </w:pPr>
            <w:r>
              <w:rPr>
                <w:b/>
                <w:i w:val="0"/>
                <w:sz w:val="22"/>
              </w:rPr>
              <w:t>Pumice</w:t>
            </w:r>
          </w:p>
        </w:tc>
        <w:tc>
          <w:tcPr>
            <w:tcW w:type="dxa" w:w="2541"/>
            <w:vAlign w:val="center"/>
            <w:shd w:fill="FFFFFF"/>
          </w:tcPr>
          <w:p>
            <w:pPr>
              <w:spacing w:after="60"/>
            </w:pPr>
            <w:r>
              <w:rPr>
                <w:b w:val="0"/>
                <w:i w:val="0"/>
                <w:sz w:val="22"/>
              </w:rPr>
              <w:t>High</w:t>
            </w:r>
          </w:p>
        </w:tc>
        <w:tc>
          <w:tcPr>
            <w:tcW w:type="dxa" w:w="2541"/>
            <w:vAlign w:val="center"/>
            <w:shd w:fill="FFFFFF"/>
          </w:tcPr>
          <w:p>
            <w:pPr>
              <w:spacing w:after="60"/>
            </w:pPr>
            <w:r>
              <w:rPr>
                <w:b w:val="0"/>
                <w:i w:val="0"/>
                <w:sz w:val="22"/>
              </w:rPr>
              <w:t>Low–moderate</w:t>
            </w:r>
          </w:p>
        </w:tc>
        <w:tc>
          <w:tcPr>
            <w:tcW w:type="dxa" w:w="2541"/>
            <w:vAlign w:val="center"/>
            <w:shd w:fill="FFFFFF"/>
          </w:tcPr>
          <w:p>
            <w:pPr>
              <w:spacing w:after="60"/>
            </w:pPr>
            <w:r>
              <w:rPr>
                <w:b w:val="0"/>
                <w:i w:val="0"/>
                <w:sz w:val="22"/>
              </w:rPr>
              <w:t>Porous, stable, relatively heavy; excellent aeration.</w:t>
            </w:r>
          </w:p>
        </w:tc>
      </w:tr>
      <w:tr>
        <w:trPr>
          <w:cantSplit/>
        </w:trPr>
        <w:tc>
          <w:tcPr>
            <w:tcW w:type="dxa" w:w="2541"/>
            <w:vAlign w:val="center"/>
            <w:shd w:fill="FFFFFF"/>
          </w:tcPr>
          <w:p>
            <w:pPr>
              <w:spacing w:after="60"/>
            </w:pPr>
            <w:r>
              <w:rPr>
                <w:b/>
                <w:i w:val="0"/>
                <w:sz w:val="22"/>
              </w:rPr>
              <w:t>Perlite</w:t>
            </w:r>
          </w:p>
        </w:tc>
        <w:tc>
          <w:tcPr>
            <w:tcW w:type="dxa" w:w="2541"/>
            <w:vAlign w:val="center"/>
            <w:shd w:fill="FFFFFF"/>
          </w:tcPr>
          <w:p>
            <w:pPr>
              <w:spacing w:after="60"/>
            </w:pPr>
            <w:r>
              <w:rPr>
                <w:b w:val="0"/>
                <w:i w:val="0"/>
                <w:sz w:val="22"/>
              </w:rPr>
              <w:t>High</w:t>
            </w:r>
          </w:p>
        </w:tc>
        <w:tc>
          <w:tcPr>
            <w:tcW w:type="dxa" w:w="2541"/>
            <w:vAlign w:val="center"/>
            <w:shd w:fill="FFFFFF"/>
          </w:tcPr>
          <w:p>
            <w:pPr>
              <w:spacing w:after="60"/>
            </w:pPr>
            <w:r>
              <w:rPr>
                <w:b w:val="0"/>
                <w:i w:val="0"/>
                <w:sz w:val="22"/>
              </w:rPr>
              <w:t>Low</w:t>
            </w:r>
          </w:p>
        </w:tc>
        <w:tc>
          <w:tcPr>
            <w:tcW w:type="dxa" w:w="2541"/>
            <w:vAlign w:val="center"/>
            <w:shd w:fill="FFFFFF"/>
          </w:tcPr>
          <w:p>
            <w:pPr>
              <w:spacing w:after="60"/>
            </w:pPr>
            <w:r>
              <w:rPr>
                <w:b w:val="0"/>
                <w:i w:val="0"/>
                <w:sz w:val="22"/>
              </w:rPr>
              <w:t>Very light; can float upward during watering.</w:t>
            </w:r>
          </w:p>
        </w:tc>
      </w:tr>
      <w:tr>
        <w:trPr>
          <w:cantSplit/>
        </w:trPr>
        <w:tc>
          <w:tcPr>
            <w:tcW w:type="dxa" w:w="2541"/>
            <w:vAlign w:val="center"/>
            <w:shd w:fill="FFFFFF"/>
          </w:tcPr>
          <w:p>
            <w:pPr>
              <w:spacing w:after="60"/>
            </w:pPr>
            <w:r>
              <w:rPr>
                <w:b/>
                <w:i w:val="0"/>
                <w:sz w:val="22"/>
              </w:rPr>
              <w:t>Coarse horticultural sand</w:t>
            </w:r>
          </w:p>
        </w:tc>
        <w:tc>
          <w:tcPr>
            <w:tcW w:type="dxa" w:w="2541"/>
            <w:vAlign w:val="center"/>
            <w:shd w:fill="FFFFFF"/>
          </w:tcPr>
          <w:p>
            <w:pPr>
              <w:spacing w:after="60"/>
            </w:pPr>
            <w:r>
              <w:rPr>
                <w:b w:val="0"/>
                <w:i w:val="0"/>
                <w:sz w:val="22"/>
              </w:rPr>
              <w:t>Moderate–high</w:t>
            </w:r>
          </w:p>
        </w:tc>
        <w:tc>
          <w:tcPr>
            <w:tcW w:type="dxa" w:w="2541"/>
            <w:vAlign w:val="center"/>
            <w:shd w:fill="FFFFFF"/>
          </w:tcPr>
          <w:p>
            <w:pPr>
              <w:spacing w:after="60"/>
            </w:pPr>
            <w:r>
              <w:rPr>
                <w:b w:val="0"/>
                <w:i w:val="0"/>
                <w:sz w:val="22"/>
              </w:rPr>
              <w:t>Low</w:t>
            </w:r>
          </w:p>
        </w:tc>
        <w:tc>
          <w:tcPr>
            <w:tcW w:type="dxa" w:w="2541"/>
            <w:vAlign w:val="center"/>
            <w:shd w:fill="FFFFFF"/>
          </w:tcPr>
          <w:p>
            <w:pPr>
              <w:spacing w:after="60"/>
            </w:pPr>
            <w:r>
              <w:rPr>
                <w:b w:val="0"/>
                <w:i w:val="0"/>
                <w:sz w:val="22"/>
              </w:rPr>
              <w:t>Use coarse/sharp material; avoid fine sand.</w:t>
            </w:r>
          </w:p>
        </w:tc>
      </w:tr>
      <w:tr>
        <w:trPr>
          <w:cantSplit/>
        </w:trPr>
        <w:tc>
          <w:tcPr>
            <w:tcW w:type="dxa" w:w="2541"/>
            <w:vAlign w:val="center"/>
            <w:shd w:fill="FFFFFF"/>
          </w:tcPr>
          <w:p>
            <w:pPr>
              <w:spacing w:after="60"/>
            </w:pPr>
            <w:r>
              <w:rPr>
                <w:b/>
                <w:i w:val="0"/>
                <w:sz w:val="22"/>
              </w:rPr>
              <w:t>Fine gravel/grit</w:t>
            </w:r>
          </w:p>
        </w:tc>
        <w:tc>
          <w:tcPr>
            <w:tcW w:type="dxa" w:w="2541"/>
            <w:vAlign w:val="center"/>
            <w:shd w:fill="FFFFFF"/>
          </w:tcPr>
          <w:p>
            <w:pPr>
              <w:spacing w:after="60"/>
            </w:pPr>
            <w:r>
              <w:rPr>
                <w:b w:val="0"/>
                <w:i w:val="0"/>
                <w:sz w:val="22"/>
              </w:rPr>
              <w:t>High</w:t>
            </w:r>
          </w:p>
        </w:tc>
        <w:tc>
          <w:tcPr>
            <w:tcW w:type="dxa" w:w="2541"/>
            <w:vAlign w:val="center"/>
            <w:shd w:fill="FFFFFF"/>
          </w:tcPr>
          <w:p>
            <w:pPr>
              <w:spacing w:after="60"/>
            </w:pPr>
            <w:r>
              <w:rPr>
                <w:b w:val="0"/>
                <w:i w:val="0"/>
                <w:sz w:val="22"/>
              </w:rPr>
              <w:t>Very low</w:t>
            </w:r>
          </w:p>
        </w:tc>
        <w:tc>
          <w:tcPr>
            <w:tcW w:type="dxa" w:w="2541"/>
            <w:vAlign w:val="center"/>
            <w:shd w:fill="FFFFFF"/>
          </w:tcPr>
          <w:p>
            <w:pPr>
              <w:spacing w:after="60"/>
            </w:pPr>
            <w:r>
              <w:rPr>
                <w:b w:val="0"/>
                <w:i w:val="0"/>
                <w:sz w:val="22"/>
              </w:rPr>
              <w:t>Adds stable macropores and weight; non-porous.</w:t>
            </w:r>
          </w:p>
        </w:tc>
      </w:tr>
    </w:tbl>
    <w:p>
      <w:pPr>
        <w:spacing w:after="20"/>
      </w:pPr>
    </w:p>
    <w:p>
      <w:pPr>
        <w:pStyle w:val="Heading2"/>
      </w:pPr>
      <w:r>
        <w:t>The Physics: Particle Size → Pores → Water → Oxygen → Roots</w:t>
      </w:r>
    </w:p>
    <w:p>
      <w:pPr>
        <w:pStyle w:val="Heading2"/>
      </w:pPr>
      <w:r>
        <w:t>Watering Cycle in a Good Cactus Mix</w:t>
      </w:r>
    </w:p>
    <w:p>
      <w:r>
        <w:rPr>
          <w:b/>
          <w:i w:val="0"/>
        </w:rPr>
        <w:t xml:space="preserve">1. Thorough watering: </w:t>
      </w:r>
      <w:r>
        <w:t>Wet the entire root zone; do not merely mist the surface.</w:t>
      </w:r>
    </w:p>
    <w:p>
      <w:r>
        <w:rPr>
          <w:b/>
          <w:i w:val="0"/>
        </w:rPr>
        <w:t xml:space="preserve">2. Gravitational drainage: </w:t>
      </w:r>
      <w:r>
        <w:t>Excess water leaves through the drainage hole.</w:t>
      </w:r>
    </w:p>
    <w:p>
      <w:r>
        <w:rPr>
          <w:b/>
          <w:i w:val="0"/>
        </w:rPr>
        <w:t xml:space="preserve">3. Moist phase: </w:t>
      </w:r>
      <w:r>
        <w:t>Some water remains on and within particles while large pores refill with air.</w:t>
      </w:r>
    </w:p>
    <w:p>
      <w:r>
        <w:rPr>
          <w:b/>
          <w:i w:val="0"/>
        </w:rPr>
        <w:t xml:space="preserve">4. Dry-down: </w:t>
      </w:r>
      <w:r>
        <w:t>Evaporation and root uptake reduce water content.</w:t>
      </w:r>
    </w:p>
    <w:p>
      <w:r>
        <w:rPr>
          <w:b/>
          <w:i w:val="0"/>
        </w:rPr>
        <w:t xml:space="preserve">5. Dry interval: </w:t>
      </w:r>
      <w:r>
        <w:t>For desert cacti, the substrate should not remain chronically wet.</w:t>
      </w:r>
    </w:p>
    <w:p>
      <w:pPr>
        <w:pStyle w:val="Heading2"/>
      </w:pPr>
      <w:r>
        <w:t>Quick Physical Checks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Test</w:t>
            </w:r>
          </w:p>
        </w:tc>
        <w:tc>
          <w:tcPr>
            <w:tcW w:type="dxa" w:w="5083"/>
            <w:vAlign w:val="center"/>
            <w:shd w:fill="E9EDF0"/>
          </w:tcPr>
          <w:p>
            <w:pPr>
              <w:spacing w:after="60"/>
            </w:pPr>
            <w:r>
              <w:rPr>
                <w:b/>
                <w:i w:val="0"/>
                <w:sz w:val="22"/>
              </w:rPr>
              <w:t>What to look for</w:t>
            </w:r>
          </w:p>
        </w:tc>
      </w:tr>
      <w:tr>
        <w:trPr>
          <w:cantSplit/>
        </w:trPr>
        <w:tc>
          <w:tcPr>
            <w:tcW w:type="dxa" w:w="5083"/>
            <w:vAlign w:val="center"/>
            <w:shd w:fill="FFFFFF"/>
          </w:tcPr>
          <w:p>
            <w:pPr>
              <w:spacing w:after="60"/>
            </w:pPr>
            <w:r>
              <w:rPr>
                <w:b/>
                <w:i w:val="0"/>
                <w:sz w:val="22"/>
              </w:rPr>
              <w:t>Hand test</w:t>
            </w:r>
          </w:p>
        </w:tc>
        <w:tc>
          <w:tcPr>
            <w:tcW w:type="dxa" w:w="5083"/>
            <w:vAlign w:val="center"/>
            <w:shd w:fill="FFFFFF"/>
          </w:tcPr>
          <w:p>
            <w:pPr>
              <w:spacing w:after="60"/>
            </w:pPr>
            <w:r>
              <w:rPr>
                <w:b w:val="0"/>
                <w:i w:val="0"/>
                <w:sz w:val="22"/>
              </w:rPr>
              <w:t>Moist mix should crumble apart rather than form a dense, sticky ball.</w:t>
            </w:r>
          </w:p>
        </w:tc>
      </w:tr>
      <w:tr>
        <w:trPr>
          <w:cantSplit/>
        </w:trPr>
        <w:tc>
          <w:tcPr>
            <w:tcW w:type="dxa" w:w="5083"/>
            <w:vAlign w:val="center"/>
            <w:shd w:fill="FFFFFF"/>
          </w:tcPr>
          <w:p>
            <w:pPr>
              <w:spacing w:after="60"/>
            </w:pPr>
            <w:r>
              <w:rPr>
                <w:b/>
                <w:i w:val="0"/>
                <w:sz w:val="22"/>
              </w:rPr>
              <w:t>Surface test</w:t>
            </w:r>
          </w:p>
        </w:tc>
        <w:tc>
          <w:tcPr>
            <w:tcW w:type="dxa" w:w="5083"/>
            <w:vAlign w:val="center"/>
            <w:shd w:fill="FFFFFF"/>
          </w:tcPr>
          <w:p>
            <w:pPr>
              <w:spacing w:after="60"/>
            </w:pPr>
            <w:r>
              <w:rPr>
                <w:b w:val="0"/>
                <w:i w:val="0"/>
                <w:sz w:val="22"/>
              </w:rPr>
              <w:t>Water should enter readily rather than pond for a prolonged period.</w:t>
            </w:r>
          </w:p>
        </w:tc>
      </w:tr>
      <w:tr>
        <w:trPr>
          <w:cantSplit/>
        </w:trPr>
        <w:tc>
          <w:tcPr>
            <w:tcW w:type="dxa" w:w="5083"/>
            <w:vAlign w:val="center"/>
            <w:shd w:fill="FFFFFF"/>
          </w:tcPr>
          <w:p>
            <w:pPr>
              <w:spacing w:after="60"/>
            </w:pPr>
            <w:r>
              <w:rPr>
                <w:b/>
                <w:i w:val="0"/>
                <w:sz w:val="22"/>
              </w:rPr>
              <w:t>Drainage test</w:t>
            </w:r>
          </w:p>
        </w:tc>
        <w:tc>
          <w:tcPr>
            <w:tcW w:type="dxa" w:w="5083"/>
            <w:vAlign w:val="center"/>
            <w:shd w:fill="FFFFFF"/>
          </w:tcPr>
          <w:p>
            <w:pPr>
              <w:spacing w:after="60"/>
            </w:pPr>
            <w:r>
              <w:rPr>
                <w:b w:val="0"/>
                <w:i w:val="0"/>
                <w:sz w:val="22"/>
              </w:rPr>
              <w:t>After a thorough watering, free water should promptly exit the pot.</w:t>
            </w:r>
          </w:p>
        </w:tc>
      </w:tr>
      <w:tr>
        <w:trPr>
          <w:cantSplit/>
        </w:trPr>
        <w:tc>
          <w:tcPr>
            <w:tcW w:type="dxa" w:w="5083"/>
            <w:vAlign w:val="center"/>
            <w:shd w:fill="FFFFFF"/>
          </w:tcPr>
          <w:p>
            <w:pPr>
              <w:spacing w:after="60"/>
            </w:pPr>
            <w:r>
              <w:rPr>
                <w:b/>
                <w:i w:val="0"/>
                <w:sz w:val="22"/>
              </w:rPr>
              <w:t>Dry-down check</w:t>
            </w:r>
          </w:p>
        </w:tc>
        <w:tc>
          <w:tcPr>
            <w:tcW w:type="dxa" w:w="5083"/>
            <w:vAlign w:val="center"/>
            <w:shd w:fill="FFFFFF"/>
          </w:tcPr>
          <w:p>
            <w:pPr>
              <w:spacing w:after="60"/>
            </w:pPr>
            <w:r>
              <w:rPr>
                <w:b w:val="0"/>
                <w:i w:val="0"/>
                <w:sz w:val="22"/>
              </w:rPr>
              <w:t>Track how long the center of the root ball remains damp—not just the surface.</w:t>
            </w:r>
          </w:p>
        </w:tc>
      </w:tr>
      <w:tr>
        <w:trPr>
          <w:cantSplit/>
        </w:trPr>
        <w:tc>
          <w:tcPr>
            <w:tcW w:type="dxa" w:w="5083"/>
            <w:vAlign w:val="center"/>
            <w:shd w:fill="FFFFFF"/>
          </w:tcPr>
          <w:p>
            <w:pPr>
              <w:spacing w:after="60"/>
            </w:pPr>
            <w:r>
              <w:rPr>
                <w:b/>
                <w:i w:val="0"/>
                <w:sz w:val="22"/>
              </w:rPr>
              <w:t>Fines check</w:t>
            </w:r>
          </w:p>
        </w:tc>
        <w:tc>
          <w:tcPr>
            <w:tcW w:type="dxa" w:w="5083"/>
            <w:vAlign w:val="center"/>
            <w:shd w:fill="FFFFFF"/>
          </w:tcPr>
          <w:p>
            <w:pPr>
              <w:spacing w:after="60"/>
            </w:pPr>
            <w:r>
              <w:rPr>
                <w:b w:val="0"/>
                <w:i w:val="0"/>
                <w:sz w:val="22"/>
              </w:rPr>
              <w:t>If the mix becomes muddy, crusted, or compacted, screen out excessive fines or replace deteriorated mix.</w:t>
            </w:r>
          </w:p>
        </w:tc>
      </w:tr>
    </w:tbl>
    <w:p>
      <w:pPr>
        <w:spacing w:after="20"/>
      </w:pPr>
    </w:p>
    <w:p>
      <w:pPr>
        <w:pStyle w:val="Heading2"/>
      </w:pPr>
      <w:r>
        <w:t>Container Effects</w:t>
      </w:r>
    </w:p>
    <w:p>
      <w:r>
        <w:rPr>
          <w:b w:val="0"/>
          <w:i w:val="0"/>
        </w:rPr>
        <w:t>The same mix can behave differently in different pots. A drainage hole is essential. Terracotta generally loses water faster through its porous wall; plastic and glazed ceramic retain moisture longer. Larger/deeper pots also contain a larger reservoir of wet substrate, so avoid dramatically oversizing the pot relative to the root system.</w:t>
      </w:r>
    </w:p>
    <w:p>
      <w:pPr>
        <w:pStyle w:val="Heading2"/>
      </w:pPr>
      <w:r>
        <w:t>Soil Texture Triangle — Useful, but Not the Whole Story</w:t>
      </w:r>
    </w:p>
    <w:p>
      <w:r>
        <w:rPr>
          <w:b w:val="0"/>
          <w:i w:val="0"/>
        </w:rPr>
        <w:t>The conventional soil triangle classifies natural mineral soil by percent sand, silt and clay. Read each axis as percent by mass, with the percentage increasing in the arrow/scale direction. Jim’s standard cactus mix cannot be assigned a valid position on this triangle because its granite chicken grit and organic potting-soil components are not USDA sand-silt-clay separates. Its correct “position” is therefore shown outside the triangle. Use the triangle for background soil science; use particle-size distribution, connected pore space, structural stability and drying behavior to judge the cactus mix.</w:t>
      </w:r>
    </w:p>
    <w:p>
      <w:pPr>
        <w:pStyle w:val="Heading2"/>
      </w:pPr>
      <w:r>
        <w:t>Warning Signs the Mix Is Wrong</w:t>
      </w:r>
    </w:p>
    <w:p>
      <w:r>
        <w:rPr>
          <w:b w:val="0"/>
          <w:i w:val="0"/>
        </w:rPr>
        <w:t>• Remains wet for many days under ordinary indoor conditions.</w:t>
      </w:r>
    </w:p>
    <w:p>
      <w:r>
        <w:rPr>
          <w:b w:val="0"/>
          <w:i w:val="0"/>
        </w:rPr>
        <w:t>• Compacts into a dense mass or forms a hard surface crust.</w:t>
      </w:r>
    </w:p>
    <w:p>
      <w:r>
        <w:rPr>
          <w:b w:val="0"/>
          <w:i w:val="0"/>
        </w:rPr>
        <w:t>• Water ponds on the surface or channels down the pot wall instead of wetting evenly.</w:t>
      </w:r>
    </w:p>
    <w:p>
      <w:r>
        <w:rPr>
          <w:b w:val="0"/>
          <w:i w:val="0"/>
        </w:rPr>
        <w:t>• Develops a sour/anaerobic odor.</w:t>
      </w:r>
    </w:p>
    <w:p>
      <w:r>
        <w:rPr>
          <w:b w:val="0"/>
          <w:i w:val="0"/>
        </w:rPr>
        <w:t>• Contains a large amount of fine sand, dust, decomposed peat or other fines.</w:t>
      </w:r>
    </w:p>
    <w:p>
      <w:r>
        <w:rPr>
          <w:b w:val="0"/>
          <w:i w:val="0"/>
        </w:rPr>
        <w:t>• Roots are brown/black and soft rather than firm and healthy.</w:t>
      </w:r>
    </w:p>
    <w:p>
      <w:pPr>
        <w:pStyle w:val="Heading2"/>
      </w:pPr>
      <w:r>
        <w:t>When to Modify the Standard Mix</w:t>
      </w:r>
    </w:p>
    <w:p>
      <w:r>
        <w:rPr>
          <w:b w:val="0"/>
          <w:i w:val="0"/>
        </w:rPr>
        <w:t>The 1:2 recipe is the default for desert cacti. For exceptionally rot-sensitive plants, very humid conditions, or situations where the pot dries too slowly, increase the mineral fraction toward 1:3. Forest/epiphytic cacti are a different ecological group and generally require a more organic, moisture-retentive substrate; do not automatically use the desert-cactus formula for them.</w:t>
      </w:r>
    </w:p>
    <w:p>
      <w:pPr>
        <w:pStyle w:val="Heading2"/>
      </w:pPr>
      <w:r>
        <w:t>Bottom Line</w:t>
      </w:r>
    </w:p>
    <w:p>
      <w:pPr>
        <w:pStyle w:val="Heading2"/>
      </w:pPr>
      <w:r>
        <w:t>A cactus mix is an engineered root environment, not simply dirt with extra drainage.</w:t>
      </w:r>
    </w:p>
    <w:p>
      <w:r>
        <w:rPr>
          <w:b w:val="0"/>
          <w:i w:val="0"/>
        </w:rPr>
        <w:t>The standard recipe works because the mineral fraction creates durable pore space. Those pores let excess water escape and oxygen return to the roots after watering. Judge the mix by structure and drying behavior—not by color or by the word “cactus” on a bag.</w:t>
      </w:r>
    </w:p>
    <w:p>
      <w:pPr>
        <w:pStyle w:val="Heading2"/>
      </w:pPr>
      <w:r>
        <w:t>References / Notes</w:t>
      </w:r>
    </w:p>
    <w:p>
      <w:r>
        <w:rPr>
          <w:b w:val="0"/>
          <w:i w:val="0"/>
        </w:rPr>
        <w:t>Jim Standard Desert Cactus Mix: 1 part generic potting soil + 2 parts granite chicken grit, by volume. Optional drier variation: 1 part generic potting soil + 3 parts granite chicken grit.</w:t>
      </w:r>
    </w:p>
    <w:p>
      <w:r>
        <w:rPr>
          <w:b w:val="0"/>
          <w:i w:val="0"/>
        </w:rPr>
        <w:t>Houston Cactus &amp; Succulent Society Digest (Feb. 2014): mineral components and cactus-mix principles.</w:t>
      </w:r>
    </w:p>
    <w:p>
      <w:r>
        <w:rPr>
          <w:b w:val="0"/>
          <w:i w:val="0"/>
        </w:rPr>
        <w:t>Cactus and Succulent Society of New Mexico, General Purpose Cactus Soil Recipe (2016): coarse mineral components and avoidance of compacting sand.</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cactus-soil-standard-mix/"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cactus soil standard mix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