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Fireweed</w:t>
      </w:r>
    </w:p>
    <w:p>
      <w:pPr>
        <w:spacing w:after="320"/>
      </w:pPr>
      <w:r>
        <w:t>Combined Information Sheets</w:t>
      </w:r>
    </w:p>
    <w:p>
      <w:pPr>
        <w:pStyle w:val="Heading1"/>
      </w:pPr>
      <w:r>
        <w:t>Fireweed</w:t>
      </w:r>
    </w:p>
    <w:p>
      <w:r>
        <w:rPr>
          <w:b/>
        </w:rPr>
        <w:t xml:space="preserve">Online Information Sheet: </w:t>
      </w:r>
      <w:hyperlink r:id="rId11">
        <w:r>
          <w:rPr>
            <w:color w:val="245B43"/>
            <w:u w:val="single"/>
          </w:rPr>
          <w:t>planteducationproject.com/fireweed/</w:t>
        </w:r>
      </w:hyperlink>
    </w:p>
    <w:p>
      <w:r>
        <w:rPr>
          <w:b w:val="0"/>
          <w:i w:val="0"/>
        </w:rPr>
        <w:t>🌿 Plant Information Sheet</w:t>
      </w:r>
    </w:p>
    <w:p>
      <w:r>
        <w:rPr>
          <w:b w:val="0"/>
          <w:i/>
        </w:rPr>
        <w:t>Chamaenerion angustifolium</w:t>
      </w:r>
    </w:p>
    <w:p>
      <w:pPr>
        <w:pStyle w:val="Heading2"/>
      </w:pPr>
      <w:r>
        <w:t>“To understand the care of a plant, understand its native climate and environment.”</w:t>
      </w:r>
    </w:p>
    <w:p>
      <w:pPr>
        <w:pStyle w:val="Heading2"/>
      </w:pPr>
      <w:r>
        <w:t>Key Point</w:t>
      </w:r>
    </w:p>
    <w:p>
      <w:r>
        <w:rPr>
          <w:b w:val="0"/>
          <w:i w:val="0"/>
        </w:rPr>
        <w:t>A beautiful native-style pioneer plant that can become assertive through both rhizomes and airborne seed.</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Botanical name</w:t>
            </w:r>
          </w:p>
        </w:tc>
        <w:tc>
          <w:tcPr>
            <w:tcW w:type="dxa" w:w="5083"/>
            <w:vAlign w:val="center"/>
            <w:shd w:fill="FFFFFF"/>
          </w:tcPr>
          <w:p>
            <w:pPr>
              <w:spacing w:after="60"/>
            </w:pPr>
            <w:r>
              <w:rPr>
                <w:b w:val="0"/>
                <w:i w:val="0"/>
                <w:sz w:val="22"/>
              </w:rPr>
              <w:t>Chamaenerion angustifolium</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Onagraceae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Full sun to light shade; best flowering in sun with adequate moisture.</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Keep evenly moist while establishing; established plants tolerate brief dry periods but not prolonged heat and drought.</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Hardy perennial; suited to cool temperate climates and winter dormancy.</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Usually none in ordinary garden soil; excess nitrogen creates rank growth.</w:t>
            </w:r>
          </w:p>
        </w:tc>
      </w:tr>
      <w:tr>
        <w:trPr>
          <w:cantSplit/>
        </w:trPr>
        <w:tc>
          <w:tcPr>
            <w:tcW w:type="dxa" w:w="5083"/>
            <w:vAlign w:val="center"/>
            <w:shd w:fill="FFFFFF"/>
          </w:tcPr>
          <w:p>
            <w:pPr>
              <w:spacing w:after="60"/>
            </w:pPr>
            <w:r>
              <w:rPr>
                <w:b/>
                <w:i w:val="0"/>
                <w:sz w:val="22"/>
              </w:rPr>
              <w:t>Potting mix</w:t>
            </w:r>
          </w:p>
        </w:tc>
        <w:tc>
          <w:tcPr>
            <w:tcW w:type="dxa" w:w="5083"/>
            <w:vAlign w:val="center"/>
            <w:shd w:fill="FFFFFF"/>
          </w:tcPr>
          <w:p>
            <w:pPr>
              <w:spacing w:after="60"/>
            </w:pPr>
            <w:r>
              <w:rPr>
                <w:b w:val="0"/>
                <w:i w:val="0"/>
                <w:sz w:val="22"/>
              </w:rPr>
              <w:t>Herb and Container Vegetable Standard Mix: 2 parts generic potting soil + 1 part compost-rich raised-bed/in-ground soil ingredient + 1 part coarse perlite.</w:t>
            </w:r>
          </w:p>
        </w:tc>
      </w:tr>
      <w:tr>
        <w:trPr>
          <w:cantSplit/>
        </w:trPr>
        <w:tc>
          <w:tcPr>
            <w:tcW w:type="dxa" w:w="5083"/>
            <w:vAlign w:val="center"/>
            <w:shd w:fill="FFFFFF"/>
          </w:tcPr>
          <w:p>
            <w:pPr>
              <w:spacing w:after="60"/>
            </w:pPr>
            <w:r>
              <w:rPr>
                <w:b/>
                <w:i w:val="0"/>
                <w:sz w:val="22"/>
              </w:rPr>
              <w:t>Toxicity</w:t>
            </w:r>
          </w:p>
        </w:tc>
        <w:tc>
          <w:tcPr>
            <w:tcW w:type="dxa" w:w="5083"/>
            <w:vAlign w:val="center"/>
            <w:shd w:fill="FFFFFF"/>
          </w:tcPr>
          <w:p>
            <w:pPr>
              <w:spacing w:after="60"/>
            </w:pPr>
            <w:r>
              <w:rPr>
                <w:b w:val="0"/>
                <w:i w:val="0"/>
                <w:sz w:val="22"/>
              </w:rPr>
              <w:t>Young shoots have food-use traditions, but misidentification is possible; this sheet does not recommend consumption.</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Not verified. A county-specific native record is required.</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Yes. Fireweed occurs naturally in North America as well as Eurasia.</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Can spread strongly by rhizomes and seed in gardens; aggressive spread is distinct from non-native invasion.</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Yes; windborne seeds can spread widely.</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Young shoots have traditional food uses, but positive identification is essential. This sheet does not provide a harvesting or preparation protocol.</w:t>
            </w:r>
          </w:p>
        </w:tc>
      </w:tr>
    </w:tbl>
    <w:p>
      <w:pPr>
        <w:spacing w:after="20"/>
      </w:pPr>
    </w:p>
    <w:p>
      <w:pPr>
        <w:pStyle w:val="Heading2"/>
      </w:pPr>
      <w:r>
        <w:t>Care</w:t>
      </w:r>
    </w:p>
    <w:p>
      <w:pPr>
        <w:pStyle w:val="ListBullet"/>
      </w:pPr>
      <w:r>
        <w:rPr>
          <w:b w:val="0"/>
          <w:i w:val="0"/>
        </w:rPr>
        <w:t>Full sun to light shade; best flowering in sun with adequate moisture.</w:t>
      </w:r>
    </w:p>
    <w:p>
      <w:pPr>
        <w:pStyle w:val="ListBullet"/>
      </w:pPr>
      <w:r>
        <w:rPr>
          <w:b w:val="0"/>
          <w:i w:val="0"/>
        </w:rPr>
        <w:t>Keep evenly moist while establishing; established plants tolerate brief dry periods but not prolonged heat and drought.</w:t>
      </w:r>
    </w:p>
    <w:p>
      <w:pPr>
        <w:pStyle w:val="ListBullet"/>
      </w:pPr>
      <w:r>
        <w:rPr>
          <w:b w:val="0"/>
          <w:i w:val="0"/>
        </w:rPr>
        <w:t>Use a container with an unobstructed drainage hole. Do not add a gravel layer under the mix. Increase only one pot size when repotting.</w:t>
      </w:r>
    </w:p>
    <w:p>
      <w:pPr>
        <w:pStyle w:val="ListBullet"/>
      </w:pPr>
      <w:r>
        <w:rPr>
          <w:b w:val="0"/>
          <w:i w:val="0"/>
        </w:rPr>
        <w:t>Rotate the pot periodically for even growth, inspect leaf axils and roots, and quarantine new plants before adding them to a collection.</w:t>
      </w:r>
    </w:p>
    <w:p>
      <w:pPr>
        <w:pStyle w:val="Heading2"/>
      </w:pPr>
      <w:r>
        <w:t>Standard Potting Mix</w:t>
      </w:r>
    </w:p>
    <w:p>
      <w:r>
        <w:rPr>
          <w:b w:val="0"/>
          <w:i w:val="0"/>
        </w:rPr>
        <w:t>Herb and Container Vegetable Standard Mix: 2 parts generic potting soil + 1 part compost-rich raised-bed/in-ground soil ingredient + 1 part coarse perlite.</w:t>
      </w:r>
    </w:p>
    <w:p>
      <w:r>
        <w:rPr>
          <w:b w:val="0"/>
          <w:i w:val="0"/>
        </w:rPr>
        <w:t>Mix by volume using the same scoop. Premoisten dusty ingredients and keep the blend loose.</w:t>
      </w:r>
    </w:p>
    <w:p>
      <w:pPr>
        <w:pStyle w:val="Heading2"/>
      </w:pPr>
      <w:r>
        <w:t>Feeding</w:t>
      </w:r>
    </w:p>
    <w:p>
      <w:r>
        <w:rPr>
          <w:b w:val="0"/>
          <w:i w:val="0"/>
        </w:rPr>
        <w:t>Usually none in ordinary garden soil; excess nitrogen creates rank growth. Feed only moist, healthy roots. Reduce or stop fertilizer when growth pauses, and occasionally flush the pot with plain water to limit soluble salts.</w:t>
      </w:r>
    </w:p>
    <w:p>
      <w:pPr>
        <w:pStyle w:val="Heading2"/>
      </w:pPr>
      <w:r>
        <w:t>Flowering</w:t>
      </w:r>
    </w:p>
    <w:p>
      <w:r>
        <w:rPr>
          <w:b w:val="0"/>
          <w:i w:val="0"/>
        </w:rPr>
        <w:t>Tall pink-magenta racemes in summer; flowers open upward along the spike.</w:t>
      </w:r>
    </w:p>
    <w:p>
      <w:pPr>
        <w:pStyle w:val="ListBullet"/>
      </w:pPr>
      <w:r>
        <w:rPr>
          <w:b w:val="0"/>
          <w:i w:val="0"/>
        </w:rPr>
        <w:t>Provide the correct light and seasonal rhythm; fertilizer cannot compensate for inadequate light.</w:t>
      </w:r>
    </w:p>
    <w:p>
      <w:pPr>
        <w:pStyle w:val="ListBullet"/>
      </w:pPr>
      <w:r>
        <w:rPr>
          <w:b w:val="0"/>
          <w:i w:val="0"/>
        </w:rPr>
        <w:t>Remove spent flowering structures with clean tools unless seed or wildlife value is desired.</w:t>
      </w:r>
    </w:p>
    <w:p>
      <w:pPr>
        <w:pStyle w:val="Heading2"/>
      </w:pPr>
      <w:r>
        <w:t>Propagation and Self-Seeding</w:t>
      </w:r>
    </w:p>
    <w:p>
      <w:r>
        <w:rPr>
          <w:b w:val="0"/>
          <w:i w:val="0"/>
        </w:rPr>
        <w:t>Seed, rhizome division, or root cuttings. Site carefully because rhizomes spread.</w:t>
      </w:r>
    </w:p>
    <w:p>
      <w:r>
        <w:rPr>
          <w:b w:val="0"/>
          <w:i w:val="0"/>
        </w:rPr>
        <w:t>Self-seeding: Yes; windborne seeds can spread widely.</w:t>
      </w:r>
    </w:p>
    <w:p>
      <w:r>
        <w:rPr>
          <w:b/>
          <w:i w:val="0"/>
        </w:rPr>
        <w:t xml:space="preserve">Seed germination and light: </w:t>
      </w:r>
      <w:r>
        <w:t>Sow Chamaenerion angustifolium on the moist soil surface and provide light. USDA guidance reports better germination at the surface than at depths of 1/12 inch (about 2 mm) or more. Keep the seedbed from drying out. This supports surface sowing, not an absolute darkness prohibition.</w:t>
      </w:r>
    </w:p>
    <w:p>
      <w:r>
        <w:rPr>
          <w:b w:val="0"/>
          <w:i w:val="0"/>
        </w:rPr>
        <w:t xml:space="preserve">Germination source: </w:t>
      </w:r>
      <w:hyperlink r:id="rId12">
        <w:r>
          <w:rPr>
            <w:color w:val="245B43"/>
            <w:u w:val="single"/>
          </w:rPr>
          <w:t>USDA NRCS, Fireweed Plant Guide, planting guidelines, hosted by Western Native Seed</w:t>
        </w:r>
      </w:hyperlink>
      <w:r>
        <w:t>. Checked 2026-09-21.</w:t>
      </w:r>
    </w:p>
    <w:p>
      <w:pPr>
        <w:pStyle w:val="Heading2"/>
      </w:pPr>
      <w:r>
        <w:t>Environment / Native Habitat</w:t>
      </w:r>
    </w:p>
    <w:p>
      <w:r>
        <w:rPr>
          <w:b w:val="0"/>
          <w:i w:val="0"/>
        </w:rPr>
        <w:t>Widespread across the Northern Hemisphere in cool forests, meadows, roadsides, burns, and other disturbed ground.</w:t>
      </w:r>
    </w:p>
    <w:p>
      <w:r>
        <w:rPr>
          <w:b w:val="0"/>
          <w:i w:val="0"/>
        </w:rPr>
        <w:t>Cultivation translation: reproduce the habitat’s drainage, air movement, light pattern, and seasonal change rather than copying only its average temperature.</w:t>
      </w:r>
    </w:p>
    <w:p>
      <w:pPr>
        <w:pStyle w:val="Heading2"/>
      </w:pPr>
      <w:r>
        <w:t>Troubleshooting</w:t>
      </w:r>
    </w:p>
    <w:p>
      <w:r>
        <w:rPr>
          <w:b w:val="0"/>
          <w:i w:val="0"/>
        </w:rPr>
        <w:t>Flopping follows shade or rich soil. Rust and mildew increase with crowding. Unwanted spread requires removal of rhizomes and seedheads.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Plant declines after watering</w:t>
            </w:r>
          </w:p>
        </w:tc>
        <w:tc>
          <w:tcPr>
            <w:tcW w:type="dxa" w:w="5083"/>
            <w:vAlign w:val="center"/>
            <w:shd w:fill="FFFFFF"/>
          </w:tcPr>
          <w:p>
            <w:pPr>
              <w:spacing w:after="60"/>
            </w:pPr>
            <w:r>
              <w:rPr>
                <w:b w:val="0"/>
                <w:i w:val="0"/>
                <w:sz w:val="22"/>
              </w:rPr>
              <w:t>Inspect roots and crown; remove rot, improve aeration, and extend the dry interval.</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Isolate first. Check for mealybugs, scale, mites, aphids, or fungus gnats; begin with physical removal and the least-toxic labeled control.</w:t>
            </w:r>
          </w:p>
        </w:tc>
      </w:tr>
      <w:tr>
        <w:trPr>
          <w:cantSplit/>
        </w:trPr>
        <w:tc>
          <w:tcPr>
            <w:tcW w:type="dxa" w:w="5083"/>
            <w:vAlign w:val="center"/>
            <w:shd w:fill="FFFFFF"/>
          </w:tcPr>
          <w:p>
            <w:pPr>
              <w:spacing w:after="60"/>
            </w:pPr>
            <w:r>
              <w:rPr>
                <w:b/>
                <w:i w:val="0"/>
                <w:sz w:val="22"/>
              </w:rPr>
              <w:t>Weak or distorted growth</w:t>
            </w:r>
          </w:p>
        </w:tc>
        <w:tc>
          <w:tcPr>
            <w:tcW w:type="dxa" w:w="5083"/>
            <w:vAlign w:val="center"/>
            <w:shd w:fill="FFFFFF"/>
          </w:tcPr>
          <w:p>
            <w:pPr>
              <w:spacing w:after="60"/>
            </w:pPr>
            <w:r>
              <w:rPr>
                <w:b w:val="0"/>
                <w:i w:val="0"/>
                <w:sz w:val="22"/>
              </w:rPr>
              <w:t>Recheck light, root health, temperature, and fertilizer before adding more water or feed.</w:t>
            </w:r>
          </w:p>
        </w:tc>
      </w:tr>
    </w:tbl>
    <w:p>
      <w:pPr>
        <w:spacing w:after="20"/>
      </w:pP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Full sun to light shade; best flowering in sun with adequate moisture.</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Keep evenly moist while establishing; established plants tolerate brief dry periods but not prolonged heat and drought.</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Hardy perennial; suited to cool temperate climates and winter dormancy.</w:t>
            </w:r>
          </w:p>
        </w:tc>
      </w:tr>
      <w:tr>
        <w:trPr>
          <w:cantSplit/>
        </w:trPr>
        <w:tc>
          <w:tcPr>
            <w:tcW w:type="dxa" w:w="5083"/>
            <w:vAlign w:val="center"/>
            <w:shd w:fill="FFFFFF"/>
          </w:tcPr>
          <w:p>
            <w:pPr>
              <w:spacing w:after="60"/>
            </w:pPr>
            <w:r>
              <w:rPr>
                <w:b/>
                <w:i w:val="0"/>
                <w:sz w:val="22"/>
              </w:rPr>
              <w:t>Standard mix</w:t>
            </w:r>
          </w:p>
        </w:tc>
        <w:tc>
          <w:tcPr>
            <w:tcW w:type="dxa" w:w="5083"/>
            <w:vAlign w:val="center"/>
            <w:shd w:fill="FFFFFF"/>
          </w:tcPr>
          <w:p>
            <w:pPr>
              <w:spacing w:after="60"/>
            </w:pPr>
            <w:r>
              <w:rPr>
                <w:b w:val="0"/>
                <w:i w:val="0"/>
                <w:sz w:val="22"/>
              </w:rPr>
              <w:t>Herb and Container Vegetable Standard Mix: 2 parts generic potting soil + 1 part compost-rich raised-bed/in-ground soil ingredient + 1 part coarse perlite.</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Seed, rhizome division, or root cuttings. Site carefully because rhizomes spread.</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Yes; windborne seeds can spread widely.</w:t>
            </w:r>
          </w:p>
        </w:tc>
      </w:tr>
    </w:tbl>
    <w:p>
      <w:pPr>
        <w:spacing w:after="20"/>
      </w:pPr>
    </w:p>
    <w:p>
      <w:pPr>
        <w:pStyle w:val="Heading2"/>
      </w:pPr>
      <w:r>
        <w:t>Reliable References</w:t>
      </w:r>
    </w:p>
    <w:p>
      <w:pPr>
        <w:pStyle w:val="ListBullet"/>
      </w:pPr>
      <w:r>
        <w:rPr>
          <w:b w:val="0"/>
          <w:i w:val="0"/>
        </w:rPr>
        <w:t>Internal standard: Minimal Standard Potting Mixes and Stock Inventory Information Sheet (2026).</w:t>
      </w:r>
    </w:p>
    <w:p>
      <w:r>
        <w:rPr>
          <w:b w:val="0"/>
          <w:i w:val="0"/>
        </w:rPr>
        <w:t>Educational reference. Species, cultivar, climate, container, and household conditions may require adjustment.</w:t>
      </w:r>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fireweed/" TargetMode="External"/><Relationship Id="rId12" Type="http://schemas.openxmlformats.org/officeDocument/2006/relationships/hyperlink" Target="https://www.westernnativeseed.com/plant%20guides/chaangpg.pdf"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fireweed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