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Fiddle-leaf Fig</w:t>
      </w:r>
    </w:p>
    <w:p>
      <w:pPr>
        <w:spacing w:after="320"/>
      </w:pPr>
      <w:r>
        <w:t>Combined Information Sheets</w:t>
      </w:r>
    </w:p>
    <w:p>
      <w:pPr>
        <w:pStyle w:val="Heading1"/>
      </w:pPr>
      <w:r>
        <w:t>Fiddle-leaf Fig</w:t>
      </w:r>
    </w:p>
    <w:p>
      <w:r>
        <w:rPr>
          <w:b/>
        </w:rPr>
        <w:t xml:space="preserve">Online Information Sheet: </w:t>
      </w:r>
      <w:hyperlink r:id="rId11">
        <w:r>
          <w:rPr>
            <w:color w:val="245B43"/>
            <w:u w:val="single"/>
          </w:rPr>
          <w:t>planteducationproject.com/fiddle-leaf-fig/</w:t>
        </w:r>
      </w:hyperlink>
    </w:p>
    <w:p>
      <w:r>
        <w:rPr>
          <w:b w:val="0"/>
          <w:i w:val="0"/>
        </w:rPr>
        <w:t>🌿 Plant Information Sheet</w:t>
      </w:r>
    </w:p>
    <w:p>
      <w:pPr>
        <w:jc w:val="center"/>
      </w:pPr>
      <w:r>
        <w:drawing>
          <wp:inline xmlns:a="http://schemas.openxmlformats.org/drawingml/2006/main" xmlns:pic="http://schemas.openxmlformats.org/drawingml/2006/picture">
            <wp:extent cx="5120640" cy="3840480"/>
            <wp:docPr id="1" name="Picture 1"/>
            <wp:cNvGraphicFramePr>
              <a:graphicFrameLocks noChangeAspect="1"/>
            </wp:cNvGraphicFramePr>
            <a:graphic>
              <a:graphicData uri="http://schemas.openxmlformats.org/drawingml/2006/picture">
                <pic:pic>
                  <pic:nvPicPr>
                    <pic:cNvPr id="0" name="c89a4c22038956b48131d0e6.jpg"/>
                    <pic:cNvPicPr/>
                  </pic:nvPicPr>
                  <pic:blipFill>
                    <a:blip r:embed="rId12"/>
                    <a:stretch>
                      <a:fillRect/>
                    </a:stretch>
                  </pic:blipFill>
                  <pic:spPr>
                    <a:xfrm>
                      <a:off x="0" y="0"/>
                      <a:ext cx="5120640" cy="3840480"/>
                    </a:xfrm>
                    <a:prstGeom prst="rect"/>
                  </pic:spPr>
                </pic:pic>
              </a:graphicData>
            </a:graphic>
          </wp:inline>
        </w:drawing>
      </w:r>
    </w:p>
    <w:p>
      <w:pPr>
        <w:pStyle w:val="Caption"/>
      </w:pPr>
      <w:r>
        <w:rPr>
          <w:b w:val="0"/>
          <w:i w:val="0"/>
        </w:rPr>
        <w:t>Fiddle-leaf fig growing outdoors in a developed setting; not a verified native-habitat view. Photo: Forest and Kim Starr; CC BY 2.0; source. Unmodified.</w:t>
      </w:r>
      <w:r>
        <w:br/>
      </w:r>
      <w:r>
        <w:t xml:space="preserve">Photograph: Forest and Kim Starr · </w:t>
      </w:r>
      <w:hyperlink r:id="rId13">
        <w:r>
          <w:rPr>
            <w:color w:val="245B43"/>
            <w:u w:val="single"/>
          </w:rPr>
          <w:t>Original source</w:t>
        </w:r>
      </w:hyperlink>
      <w:r>
        <w:t xml:space="preserve"> · </w:t>
      </w:r>
      <w:hyperlink r:id="rId14">
        <w:r>
          <w:rPr>
            <w:color w:val="245B43"/>
            <w:u w:val="single"/>
          </w:rPr>
          <w:t>CC BY 2.0</w:t>
        </w:r>
      </w:hyperlink>
      <w:r>
        <w:t>. Resized proportionally.</w:t>
      </w:r>
    </w:p>
    <w:p>
      <w:r>
        <w:rPr>
          <w:b w:val="0"/>
          <w:i w:val="0"/>
        </w:rPr>
        <w:t>A tropical tree recognized by its large, leathery, violin-shaped leaves. Container plants remain much smaller than mature trees in their native range.</w:t>
      </w:r>
    </w:p>
    <w:p>
      <w:r>
        <w:rPr>
          <w:b w:val="0"/>
          <w:i/>
        </w:rPr>
        <w:t>To understand the care of a plant, understand its native climate and environment.</w:t>
      </w:r>
    </w:p>
    <w:p>
      <w:pPr>
        <w:pStyle w:val="Heading2"/>
      </w:pPr>
      <w:r>
        <w:t>At a glance</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Field</w:t>
            </w:r>
          </w:p>
        </w:tc>
        <w:tc>
          <w:tcPr>
            <w:tcW w:type="dxa" w:w="5083"/>
            <w:vAlign w:val="center"/>
            <w:shd w:fill="E9EDF0"/>
          </w:tcPr>
          <w:p>
            <w:pPr>
              <w:spacing w:after="60"/>
            </w:pPr>
            <w:r>
              <w:rPr>
                <w:b/>
                <w:i w:val="0"/>
                <w:sz w:val="22"/>
              </w:rPr>
              <w:t>Information</w:t>
            </w:r>
          </w:p>
        </w:tc>
      </w:tr>
      <w:tr>
        <w:trPr>
          <w:cantSplit/>
        </w:trPr>
        <w:tc>
          <w:tcPr>
            <w:tcW w:type="dxa" w:w="5083"/>
            <w:vAlign w:val="center"/>
            <w:shd w:fill="FFFFFF"/>
          </w:tcPr>
          <w:p>
            <w:pPr>
              <w:spacing w:after="60"/>
            </w:pPr>
            <w:r>
              <w:rPr>
                <w:b/>
                <w:i w:val="0"/>
                <w:sz w:val="22"/>
              </w:rPr>
              <w:t>U.S. native</w:t>
            </w:r>
          </w:p>
        </w:tc>
        <w:tc>
          <w:tcPr>
            <w:tcW w:type="dxa" w:w="5083"/>
            <w:vAlign w:val="center"/>
            <w:shd w:fill="FFFFFF"/>
          </w:tcPr>
          <w:p>
            <w:pPr>
              <w:spacing w:after="60"/>
            </w:pPr>
            <w:r>
              <w:rPr>
                <w:b w:val="0"/>
                <w:i w:val="0"/>
                <w:sz w:val="22"/>
              </w:rPr>
              <w:t>No; native to tropical western and central Africa.</w:t>
            </w:r>
          </w:p>
        </w:tc>
      </w:tr>
      <w:tr>
        <w:trPr>
          <w:cantSplit/>
        </w:trPr>
        <w:tc>
          <w:tcPr>
            <w:tcW w:type="dxa" w:w="5083"/>
            <w:vAlign w:val="center"/>
            <w:shd w:fill="FFFFFF"/>
          </w:tcPr>
          <w:p>
            <w:pPr>
              <w:spacing w:after="60"/>
            </w:pPr>
            <w:r>
              <w:rPr>
                <w:b/>
                <w:i w:val="0"/>
                <w:sz w:val="22"/>
              </w:rPr>
              <w:t>Tippecanoe County native</w:t>
            </w:r>
          </w:p>
        </w:tc>
        <w:tc>
          <w:tcPr>
            <w:tcW w:type="dxa" w:w="5083"/>
            <w:vAlign w:val="center"/>
            <w:shd w:fill="FFFFFF"/>
          </w:tcPr>
          <w:p>
            <w:pPr>
              <w:spacing w:after="60"/>
            </w:pPr>
            <w:r>
              <w:rPr>
                <w:b w:val="0"/>
                <w:i w:val="0"/>
                <w:sz w:val="22"/>
              </w:rPr>
              <w:t>No; an indoor ornamental in Indiana.</w:t>
            </w:r>
          </w:p>
        </w:tc>
      </w:tr>
      <w:tr>
        <w:trPr>
          <w:cantSplit/>
        </w:trPr>
        <w:tc>
          <w:tcPr>
            <w:tcW w:type="dxa" w:w="5083"/>
            <w:vAlign w:val="center"/>
            <w:shd w:fill="FFFFFF"/>
          </w:tcPr>
          <w:p>
            <w:pPr>
              <w:spacing w:after="60"/>
            </w:pPr>
            <w:r>
              <w:rPr>
                <w:b/>
                <w:i w:val="0"/>
                <w:sz w:val="22"/>
              </w:rPr>
              <w:t>Invasive status</w:t>
            </w:r>
          </w:p>
        </w:tc>
        <w:tc>
          <w:tcPr>
            <w:tcW w:type="dxa" w:w="5083"/>
            <w:vAlign w:val="center"/>
            <w:shd w:fill="FFFFFF"/>
          </w:tcPr>
          <w:p>
            <w:pPr>
              <w:spacing w:after="60"/>
            </w:pPr>
            <w:r>
              <w:rPr>
                <w:b w:val="0"/>
                <w:i w:val="0"/>
                <w:sz w:val="22"/>
              </w:rPr>
              <w:t>Local invasive status not established by this sheet; frost prevents normal outdoor overwintering.</w:t>
            </w:r>
          </w:p>
        </w:tc>
      </w:tr>
      <w:tr>
        <w:trPr>
          <w:cantSplit/>
        </w:trPr>
        <w:tc>
          <w:tcPr>
            <w:tcW w:type="dxa" w:w="5083"/>
            <w:vAlign w:val="center"/>
            <w:shd w:fill="FFFFFF"/>
          </w:tcPr>
          <w:p>
            <w:pPr>
              <w:spacing w:after="60"/>
            </w:pPr>
            <w:r>
              <w:rPr>
                <w:b/>
                <w:i w:val="0"/>
                <w:sz w:val="22"/>
              </w:rPr>
              <w:t>Self-seeding</w:t>
            </w:r>
          </w:p>
        </w:tc>
        <w:tc>
          <w:tcPr>
            <w:tcW w:type="dxa" w:w="5083"/>
            <w:vAlign w:val="center"/>
            <w:shd w:fill="FFFFFF"/>
          </w:tcPr>
          <w:p>
            <w:pPr>
              <w:spacing w:after="60"/>
            </w:pPr>
            <w:r>
              <w:rPr>
                <w:b w:val="0"/>
                <w:i w:val="0"/>
                <w:sz w:val="22"/>
              </w:rPr>
              <w:t>Limited; normal indoor plants do not set viable seed.</w:t>
            </w:r>
          </w:p>
        </w:tc>
      </w:tr>
      <w:tr>
        <w:trPr>
          <w:cantSplit/>
        </w:trPr>
        <w:tc>
          <w:tcPr>
            <w:tcW w:type="dxa" w:w="5083"/>
            <w:vAlign w:val="center"/>
            <w:shd w:fill="FFFFFF"/>
          </w:tcPr>
          <w:p>
            <w:pPr>
              <w:spacing w:after="60"/>
            </w:pPr>
            <w:r>
              <w:rPr>
                <w:b/>
                <w:i w:val="0"/>
                <w:sz w:val="22"/>
              </w:rPr>
              <w:t>Edibility</w:t>
            </w:r>
          </w:p>
        </w:tc>
        <w:tc>
          <w:tcPr>
            <w:tcW w:type="dxa" w:w="5083"/>
            <w:vAlign w:val="center"/>
            <w:shd w:fill="FFFFFF"/>
          </w:tcPr>
          <w:p>
            <w:pPr>
              <w:spacing w:after="60"/>
            </w:pPr>
            <w:r>
              <w:rPr>
                <w:b w:val="0"/>
                <w:i w:val="0"/>
                <w:sz w:val="22"/>
              </w:rPr>
              <w:t>Not a food fig; do not eat its leaves or fruit.</w:t>
            </w:r>
          </w:p>
        </w:tc>
      </w:tr>
      <w:tr>
        <w:trPr>
          <w:cantSplit/>
        </w:trPr>
        <w:tc>
          <w:tcPr>
            <w:tcW w:type="dxa" w:w="5083"/>
            <w:vAlign w:val="center"/>
            <w:shd w:fill="FFFFFF"/>
          </w:tcPr>
          <w:p>
            <w:pPr>
              <w:spacing w:after="60"/>
            </w:pPr>
            <w:r>
              <w:rPr>
                <w:b/>
                <w:i w:val="0"/>
                <w:sz w:val="22"/>
              </w:rPr>
              <w:t>Cautions</w:t>
            </w:r>
          </w:p>
        </w:tc>
        <w:tc>
          <w:tcPr>
            <w:tcW w:type="dxa" w:w="5083"/>
            <w:vAlign w:val="center"/>
            <w:shd w:fill="FFFFFF"/>
          </w:tcPr>
          <w:p>
            <w:pPr>
              <w:spacing w:after="60"/>
            </w:pPr>
            <w:r>
              <w:rPr>
                <w:b w:val="0"/>
                <w:i w:val="0"/>
                <w:sz w:val="22"/>
              </w:rPr>
              <w:t>Milky sap can irritate skin and eyes. Harmful if chewed by pets; wash hands after pruning.</w:t>
            </w:r>
          </w:p>
        </w:tc>
      </w:tr>
    </w:tbl>
    <w:p>
      <w:pPr>
        <w:spacing w:after="20"/>
      </w:pPr>
    </w:p>
    <w:p>
      <w:pPr>
        <w:pStyle w:val="Heading2"/>
      </w:pPr>
      <w:r>
        <w:t>Light and water</w:t>
      </w:r>
    </w:p>
    <w:p>
      <w:r>
        <w:rPr>
          <w:b w:val="0"/>
          <w:i w:val="0"/>
        </w:rPr>
        <w:t>Provide bright indirect light. Water after the upper mix dries, thoroughly wet the root ball, and empty drainage water. Keep away from cold drafts and temperatures below about 55°F (13°C).</w:t>
      </w:r>
    </w:p>
    <w:p>
      <w:pPr>
        <w:pStyle w:val="Heading2"/>
      </w:pPr>
      <w:r>
        <w:t>Standard potting mix</w:t>
      </w:r>
    </w:p>
    <w:p>
      <w:r>
        <w:rPr>
          <w:b w:val="0"/>
          <w:i w:val="0"/>
        </w:rPr>
        <w:t>Use Standard Tropical Foliage Mix: 1 part generic potting soil plus 1 part coarse perlite by volume. No bark or coir is added in this approved version. Moisten dusty ingredients lightly and blend without compression. Use a drainage hole and no gravel layer. Choose a container only modestly larger than the root ball; a large wet volume is harder to manage indoors.</w:t>
      </w:r>
    </w:p>
    <w:p>
      <w:pPr>
        <w:pStyle w:val="Heading2"/>
      </w:pPr>
      <w:r>
        <w:t>Feeding and grooming</w:t>
      </w:r>
    </w:p>
    <w:p>
      <w:r>
        <w:rPr>
          <w:b w:val="0"/>
          <w:i w:val="0"/>
        </w:rPr>
        <w:t>Feed during active growth at the product’s labeled houseplant rate. Pause when growth slows. Wipe dusty leaves with a damp cloth. Use clean tools for pruning and prevent sap contact.</w:t>
      </w:r>
    </w:p>
    <w:p>
      <w:pPr>
        <w:jc w:val="center"/>
      </w:pPr>
      <w:r>
        <w:drawing>
          <wp:inline xmlns:a="http://schemas.openxmlformats.org/drawingml/2006/main" xmlns:pic="http://schemas.openxmlformats.org/drawingml/2006/picture">
            <wp:extent cx="5120640" cy="6827520"/>
            <wp:docPr id="2" name="Picture 2"/>
            <wp:cNvGraphicFramePr>
              <a:graphicFrameLocks noChangeAspect="1"/>
            </wp:cNvGraphicFramePr>
            <a:graphic>
              <a:graphicData uri="http://schemas.openxmlformats.org/drawingml/2006/picture">
                <pic:pic>
                  <pic:nvPicPr>
                    <pic:cNvPr id="0" name="cdeec0e96d83ccea6b9fa09a.jpg"/>
                    <pic:cNvPicPr/>
                  </pic:nvPicPr>
                  <pic:blipFill>
                    <a:blip r:embed="rId15"/>
                    <a:stretch>
                      <a:fillRect/>
                    </a:stretch>
                  </pic:blipFill>
                  <pic:spPr>
                    <a:xfrm>
                      <a:off x="0" y="0"/>
                      <a:ext cx="5120640" cy="6827520"/>
                    </a:xfrm>
                    <a:prstGeom prst="rect"/>
                  </pic:spPr>
                </pic:pic>
              </a:graphicData>
            </a:graphic>
          </wp:inline>
        </w:drawing>
      </w:r>
    </w:p>
    <w:p>
      <w:pPr>
        <w:pStyle w:val="Caption"/>
      </w:pPr>
      <w:r>
        <w:rPr>
          <w:b w:val="0"/>
          <w:i w:val="0"/>
        </w:rPr>
        <w:t>Ficus lyrata syconia in Hawaiʻi, 2024-06-10. Each fig encloses many tiny flowers; this exterior view shows the structure, not the flowers inside. Hawaiʻi is outside the species’ African native range.</w:t>
      </w:r>
      <w:r>
        <w:br/>
      </w:r>
      <w:r>
        <w:t xml:space="preserve">Photograph: Djibo Zanzot · </w:t>
      </w:r>
      <w:hyperlink r:id="rId16">
        <w:r>
          <w:rPr>
            <w:color w:val="245B43"/>
            <w:u w:val="single"/>
          </w:rPr>
          <w:t>Original source</w:t>
        </w:r>
      </w:hyperlink>
      <w:r>
        <w:t xml:space="preserve"> · </w:t>
      </w:r>
      <w:hyperlink r:id="rId17">
        <w:r>
          <w:rPr>
            <w:color w:val="245B43"/>
            <w:u w:val="single"/>
          </w:rPr>
          <w:t>CC BY-SA</w:t>
        </w:r>
      </w:hyperlink>
      <w:r>
        <w:t>. Resized proportionally.</w:t>
      </w:r>
    </w:p>
    <w:p>
      <w:pPr>
        <w:pStyle w:val="Heading2"/>
      </w:pPr>
      <w:r>
        <w:t>Flowering</w:t>
      </w:r>
    </w:p>
    <w:p>
      <w:r>
        <w:rPr>
          <w:b w:val="0"/>
          <w:i w:val="0"/>
        </w:rPr>
        <w:t>Fig flowers are enclosed inside a specialized structure called a syconium. Ordinary indoor plants are grown for foliage, not blooms or fruit; successful seed production depends on the appropriate pollinator.</w:t>
      </w:r>
    </w:p>
    <w:p>
      <w:pPr>
        <w:pStyle w:val="Heading2"/>
      </w:pPr>
      <w:r>
        <w:t>Propagation</w:t>
      </w:r>
    </w:p>
    <w:p>
      <w:r>
        <w:rPr>
          <w:b w:val="0"/>
          <w:i w:val="0"/>
        </w:rPr>
        <w:t>Propagate with healthy stem cuttings. Use clean tools, an airy rooting medium, and gloves to avoid contact with the milky sap.</w:t>
      </w:r>
    </w:p>
    <w:p>
      <w:pPr>
        <w:pStyle w:val="Heading2"/>
      </w:pPr>
      <w:r>
        <w:t>Environment / native habitat</w:t>
      </w:r>
    </w:p>
    <w:p>
      <w:r>
        <w:rPr>
          <w:b w:val="0"/>
          <w:i w:val="0"/>
        </w:rPr>
        <w:t>Its African tropical-forest origin provides a warmer, brighter, more humid setting than many interiors. Translate that into stable warmth, adequate light, and an oxygenated root zone; constant saturation is not a substitute for humidity.</w:t>
      </w:r>
    </w:p>
    <w:p>
      <w:pPr>
        <w:pStyle w:val="Heading2"/>
      </w:pPr>
      <w:r>
        <w:t>Troubleshooting and seasonal care</w:t>
      </w:r>
    </w:p>
    <w:p>
      <w:r>
        <w:rPr>
          <w:b w:val="0"/>
          <w:i w:val="0"/>
        </w:rPr>
        <w:t>Brown spots have several possible causes. Check roots, watering, light, and pest signs before treating. Acclimate gradually if moving outdoors for summer and return inside before cold nights. Avoid repeated relocations during recovery.</w:t>
      </w:r>
    </w:p>
    <w:p>
      <w:pPr>
        <w:pStyle w:val="Heading2"/>
      </w:pPr>
      <w:r>
        <w:t>Sources and further reading</w:t>
      </w:r>
    </w:p>
    <w:p>
      <w:hyperlink r:id="rId13">
        <w:r>
          <w:rPr>
            <w:color w:val="245B43"/>
            <w:u w:val="single"/>
          </w:rPr>
          <w:t>NC State Extension Plant Toolbox — Ficus lyrata</w:t>
        </w:r>
      </w:hyperlink>
    </w:p>
    <w:p>
      <w:r>
        <w:rPr>
          <w:b w:val="0"/>
          <w:i w:val="0"/>
        </w:rPr>
        <w:t xml:space="preserve">Added September 22, 2026 · </w:t>
      </w:r>
      <w:hyperlink r:id="rId18">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9">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fiddle-leaf-fig/" TargetMode="External"/><Relationship Id="rId12" Type="http://schemas.openxmlformats.org/officeDocument/2006/relationships/image" Target="media/image1.jpg"/><Relationship Id="rId13" Type="http://schemas.openxmlformats.org/officeDocument/2006/relationships/hyperlink" Target="https://plants.ces.ncsu.edu/plants/ficus-lyrata/" TargetMode="External"/><Relationship Id="rId14" Type="http://schemas.openxmlformats.org/officeDocument/2006/relationships/hyperlink" Target="http://creativecommons.org/licenses/by/2.0/legalcode" TargetMode="External"/><Relationship Id="rId15" Type="http://schemas.openxmlformats.org/officeDocument/2006/relationships/image" Target="media/image2.jpg"/><Relationship Id="rId16" Type="http://schemas.openxmlformats.org/officeDocument/2006/relationships/hyperlink" Target="https://www.inaturalist.org/photos/393081730" TargetMode="External"/><Relationship Id="rId17" Type="http://schemas.openxmlformats.org/officeDocument/2006/relationships/hyperlink" Target="https://creativecommons.org/licenses/by-sa/4.0/" TargetMode="External"/><Relationship Id="rId18" Type="http://schemas.openxmlformats.org/officeDocument/2006/relationships/hyperlink" Target="https://planteducationproject.com/information-sheets/master-index/" TargetMode="External"/><Relationship Id="rId19"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fiddle leaf fig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