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West Lafayette Ecosystem</w:t>
      </w:r>
    </w:p>
    <w:p>
      <w:pPr>
        <w:spacing w:after="320"/>
      </w:pPr>
      <w:r>
        <w:t>Combined Information Sheets</w:t>
      </w:r>
    </w:p>
    <w:p>
      <w:pPr>
        <w:pStyle w:val="Heading1"/>
      </w:pPr>
      <w:r>
        <w:t>West Lafayette Ecosystem</w:t>
      </w:r>
    </w:p>
    <w:p>
      <w:r>
        <w:rPr>
          <w:b/>
        </w:rPr>
        <w:t xml:space="preserve">Online Information Sheet: </w:t>
      </w:r>
      <w:hyperlink r:id="rId11">
        <w:r>
          <w:rPr>
            <w:color w:val="245B43"/>
            <w:u w:val="single"/>
          </w:rPr>
          <w:t>planteducationproject.com/environments/west-lafayette-ecosystem/</w:t>
        </w:r>
      </w:hyperlink>
    </w:p>
    <w:p>
      <w:r>
        <w:rPr>
          <w:b w:val="0"/>
          <w:i w:val="0"/>
        </w:rPr>
        <w:t>🌿 Environment Information Sheet</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vAlign w:val="center"/>
            <w:shd w:fill="E9EDF0"/>
          </w:tcPr>
          <w:p>
            <w:pPr>
              <w:spacing w:after="60"/>
            </w:pPr>
            <w:r>
              <w:rPr>
                <w:b/>
                <w:i/>
                <w:sz w:val="22"/>
              </w:rPr>
              <w:t xml:space="preserve">KEY POINT  </w:t>
            </w:r>
            <w:r>
              <w:rPr>
                <w:b/>
                <w:i/>
                <w:sz w:val="22"/>
              </w:rPr>
              <w:t>West Lafayette is not one “natural” ecosystem. It is a connected urban landscape whose ecological spine is the Wabash River, joined to wetlands, ravine forests, parks, campus plantings, neighborhoods, stormwater systems, and surrounding cropland.</w:t>
            </w:r>
          </w:p>
        </w:tc>
      </w:tr>
    </w:tbl>
    <w:p>
      <w:pPr>
        <w:spacing w:after="20"/>
      </w:pPr>
    </w:p>
    <w:p>
      <w:pPr>
        <w:pStyle w:val="Heading2"/>
      </w:pPr>
      <w:r>
        <w:t>1. Ecological identity 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sz w:val="22"/>
              </w:rPr>
              <w:t>Feature</w:t>
            </w:r>
          </w:p>
        </w:tc>
        <w:tc>
          <w:tcPr>
            <w:tcW w:type="dxa" w:w="5083"/>
            <w:vAlign w:val="center"/>
            <w:shd w:fill="E9EDF0"/>
          </w:tcPr>
          <w:p>
            <w:pPr>
              <w:spacing w:after="60"/>
            </w:pPr>
            <w:r>
              <w:rPr>
                <w:b/>
                <w:i/>
                <w:sz w:val="22"/>
              </w:rPr>
              <w:t>West Lafayette pattern</w:t>
            </w:r>
          </w:p>
        </w:tc>
      </w:tr>
      <w:tr>
        <w:trPr>
          <w:cantSplit/>
        </w:trPr>
        <w:tc>
          <w:tcPr>
            <w:tcW w:type="dxa" w:w="5083"/>
            <w:vAlign w:val="center"/>
            <w:shd w:fill="FFFFFF"/>
          </w:tcPr>
          <w:p>
            <w:pPr>
              <w:spacing w:after="60"/>
            </w:pPr>
            <w:r>
              <w:rPr>
                <w:b/>
                <w:i/>
                <w:sz w:val="22"/>
              </w:rPr>
              <w:t>Broad setting</w:t>
            </w:r>
          </w:p>
        </w:tc>
        <w:tc>
          <w:tcPr>
            <w:tcW w:type="dxa" w:w="5083"/>
            <w:vAlign w:val="center"/>
            <w:shd w:fill="FFFFFF"/>
          </w:tcPr>
          <w:p>
            <w:pPr>
              <w:spacing w:after="60"/>
            </w:pPr>
            <w:r>
              <w:rPr>
                <w:b w:val="0"/>
                <w:i/>
                <w:sz w:val="22"/>
              </w:rPr>
              <w:t>Eastern Corn Belt / central Indiana; historically eastern deciduous forest intergrading with prairie and river floodplain.</w:t>
            </w:r>
          </w:p>
        </w:tc>
      </w:tr>
      <w:tr>
        <w:trPr>
          <w:cantSplit/>
        </w:trPr>
        <w:tc>
          <w:tcPr>
            <w:tcW w:type="dxa" w:w="5083"/>
            <w:vAlign w:val="center"/>
            <w:shd w:fill="FFFFFF"/>
          </w:tcPr>
          <w:p>
            <w:pPr>
              <w:spacing w:after="60"/>
            </w:pPr>
            <w:r>
              <w:rPr>
                <w:b/>
                <w:i/>
                <w:sz w:val="22"/>
              </w:rPr>
              <w:t>Climate</w:t>
            </w:r>
          </w:p>
        </w:tc>
        <w:tc>
          <w:tcPr>
            <w:tcW w:type="dxa" w:w="5083"/>
            <w:vAlign w:val="center"/>
            <w:shd w:fill="FFFFFF"/>
          </w:tcPr>
          <w:p>
            <w:pPr>
              <w:spacing w:after="60"/>
            </w:pPr>
            <w:r>
              <w:rPr>
                <w:b w:val="0"/>
                <w:i/>
                <w:sz w:val="22"/>
              </w:rPr>
              <w:t>Humid continental: four strong seasons, year-round precipitation, summer heat and thunderstorms, winter freezes and snow.</w:t>
            </w:r>
          </w:p>
        </w:tc>
      </w:tr>
      <w:tr>
        <w:trPr>
          <w:cantSplit/>
        </w:trPr>
        <w:tc>
          <w:tcPr>
            <w:tcW w:type="dxa" w:w="5083"/>
            <w:vAlign w:val="center"/>
            <w:shd w:fill="FFFFFF"/>
          </w:tcPr>
          <w:p>
            <w:pPr>
              <w:spacing w:after="60"/>
            </w:pPr>
            <w:r>
              <w:rPr>
                <w:b/>
                <w:i/>
                <w:sz w:val="22"/>
              </w:rPr>
              <w:t>Landform</w:t>
            </w:r>
          </w:p>
        </w:tc>
        <w:tc>
          <w:tcPr>
            <w:tcW w:type="dxa" w:w="5083"/>
            <w:vAlign w:val="center"/>
            <w:shd w:fill="FFFFFF"/>
          </w:tcPr>
          <w:p>
            <w:pPr>
              <w:spacing w:after="60"/>
            </w:pPr>
            <w:r>
              <w:rPr>
                <w:b w:val="0"/>
                <w:i/>
                <w:sz w:val="22"/>
              </w:rPr>
              <w:t>Glacial-till uplands cut by ravines, with a broad alluvial floodplain along the Wabash River.</w:t>
            </w:r>
          </w:p>
        </w:tc>
      </w:tr>
      <w:tr>
        <w:trPr>
          <w:cantSplit/>
        </w:trPr>
        <w:tc>
          <w:tcPr>
            <w:tcW w:type="dxa" w:w="5083"/>
            <w:vAlign w:val="center"/>
            <w:shd w:fill="FFFFFF"/>
          </w:tcPr>
          <w:p>
            <w:pPr>
              <w:spacing w:after="60"/>
            </w:pPr>
            <w:r>
              <w:rPr>
                <w:b/>
                <w:i/>
                <w:sz w:val="22"/>
              </w:rPr>
              <w:t>Water network</w:t>
            </w:r>
          </w:p>
        </w:tc>
        <w:tc>
          <w:tcPr>
            <w:tcW w:type="dxa" w:w="5083"/>
            <w:vAlign w:val="center"/>
            <w:shd w:fill="FFFFFF"/>
          </w:tcPr>
          <w:p>
            <w:pPr>
              <w:spacing w:after="60"/>
            </w:pPr>
            <w:r>
              <w:rPr>
                <w:b w:val="0"/>
                <w:i/>
                <w:sz w:val="22"/>
              </w:rPr>
              <w:t>Wabash River, small tributaries and ravines, Celery Bog wetland basins, ponds, storm drains, ditches, and groundwater.</w:t>
            </w:r>
          </w:p>
        </w:tc>
      </w:tr>
      <w:tr>
        <w:trPr>
          <w:cantSplit/>
        </w:trPr>
        <w:tc>
          <w:tcPr>
            <w:tcW w:type="dxa" w:w="5083"/>
            <w:vAlign w:val="center"/>
            <w:shd w:fill="FFFFFF"/>
          </w:tcPr>
          <w:p>
            <w:pPr>
              <w:spacing w:after="60"/>
            </w:pPr>
            <w:r>
              <w:rPr>
                <w:b/>
                <w:i/>
                <w:sz w:val="22"/>
              </w:rPr>
              <w:t>Dominant modern matrix</w:t>
            </w:r>
          </w:p>
        </w:tc>
        <w:tc>
          <w:tcPr>
            <w:tcW w:type="dxa" w:w="5083"/>
            <w:vAlign w:val="center"/>
            <w:shd w:fill="FFFFFF"/>
          </w:tcPr>
          <w:p>
            <w:pPr>
              <w:spacing w:after="60"/>
            </w:pPr>
            <w:r>
              <w:rPr>
                <w:b w:val="0"/>
                <w:i/>
                <w:sz w:val="22"/>
              </w:rPr>
              <w:t>Purdue campus, residential and commercial development, roads, lawns, parks, remnant woods, wetlands, and corn-soybean agriculture.</w:t>
            </w:r>
          </w:p>
        </w:tc>
      </w:tr>
      <w:tr>
        <w:trPr>
          <w:cantSplit/>
        </w:trPr>
        <w:tc>
          <w:tcPr>
            <w:tcW w:type="dxa" w:w="5083"/>
            <w:vAlign w:val="center"/>
            <w:shd w:fill="FFFFFF"/>
          </w:tcPr>
          <w:p>
            <w:pPr>
              <w:spacing w:after="60"/>
            </w:pPr>
            <w:r>
              <w:rPr>
                <w:b/>
                <w:i/>
                <w:sz w:val="22"/>
              </w:rPr>
              <w:t>Ecological condition</w:t>
            </w:r>
          </w:p>
        </w:tc>
        <w:tc>
          <w:tcPr>
            <w:tcW w:type="dxa" w:w="5083"/>
            <w:vAlign w:val="center"/>
            <w:shd w:fill="FFFFFF"/>
          </w:tcPr>
          <w:p>
            <w:pPr>
              <w:spacing w:after="60"/>
            </w:pPr>
            <w:r>
              <w:rPr>
                <w:b w:val="0"/>
                <w:i/>
                <w:sz w:val="22"/>
              </w:rPr>
              <w:t>Highly modified and fragmented, yet still productive; habitat value is concentrated along water, wooded slopes, mature tree canopy, wetlands, and native plant patches.</w:t>
            </w:r>
          </w:p>
        </w:tc>
      </w:tr>
    </w:tbl>
    <w:p>
      <w:pPr>
        <w:spacing w:after="20"/>
      </w:pPr>
    </w:p>
    <w:p>
      <w:pPr>
        <w:pStyle w:val="Heading2"/>
      </w:pPr>
      <w:r>
        <w:t>2. Ecological map: central West Lafayette and Celery Bog watershed</w:t>
      </w:r>
    </w:p>
    <w:p>
      <w:pPr>
        <w:pStyle w:val="Heading2"/>
      </w:pPr>
      <w:r>
        <w:t>How to read the map ecologically</w:t>
      </w:r>
    </w:p>
    <w:p>
      <w:pPr>
        <w:pStyle w:val="ListBullet"/>
      </w:pPr>
      <w:r>
        <w:rPr>
          <w:b/>
          <w:i/>
        </w:rPr>
        <w:t xml:space="preserve">Blue network: </w:t>
      </w:r>
      <w:r>
        <w:rPr>
          <w:b/>
          <w:i/>
        </w:rPr>
        <w:t>Hadley Lake, Celery Bog, channels, and the Wabash River collect and move water, sediment, nutrients, organisms, and pollutants.</w:t>
      </w:r>
    </w:p>
    <w:p>
      <w:pPr>
        <w:pStyle w:val="ListBullet"/>
      </w:pPr>
      <w:r>
        <w:rPr>
          <w:b/>
          <w:i/>
        </w:rPr>
        <w:t xml:space="preserve">Watershed boundary: </w:t>
      </w:r>
      <w:r>
        <w:rPr>
          <w:b/>
          <w:i/>
        </w:rPr>
        <w:t>rain falling inside the line ultimately drains through the same local system; upland land use therefore affects the wetland and river.</w:t>
      </w:r>
    </w:p>
    <w:p>
      <w:pPr>
        <w:pStyle w:val="ListBullet"/>
      </w:pPr>
      <w:r>
        <w:rPr>
          <w:b/>
          <w:i/>
        </w:rPr>
        <w:t xml:space="preserve">Green and open patches: </w:t>
      </w:r>
      <w:r>
        <w:rPr>
          <w:b/>
          <w:i/>
        </w:rPr>
        <w:t>wetlands, woods, fields, campus greens, yards, and parks act as habitat “stepping stones,” but roads and dense development interrupt movement.</w:t>
      </w:r>
    </w:p>
    <w:p>
      <w:pPr>
        <w:pStyle w:val="ListBullet"/>
      </w:pPr>
      <w:r>
        <w:rPr>
          <w:b/>
          <w:i/>
        </w:rPr>
        <w:t xml:space="preserve">Ecotones: </w:t>
      </w:r>
      <w:r>
        <w:rPr>
          <w:b/>
          <w:i/>
        </w:rPr>
        <w:t>shorelines, woodland edges, ravines, and wet meadow margins often support more species than uniform lawn or pavement.</w:t>
      </w:r>
    </w:p>
    <w:p>
      <w:pPr>
        <w:pStyle w:val="Heading2"/>
      </w:pPr>
      <w:r>
        <w:t>3. The principal local ecosystem units</w:t>
      </w:r>
    </w:p>
    <w:tbl>
      <w:tblPr>
        <w:tblW w:type="auto" w:w="0"/>
        <w:jc w:val="center"/>
        <w:tblLayout w:type="autofit"/>
        <w:tblLook w:firstColumn="1" w:firstRow="1" w:lastColumn="0" w:lastRow="0" w:noHBand="0" w:noVBand="1" w:val="04A0"/>
      </w:tblPr>
      <w:tblGrid>
        <w:gridCol w:w="2033"/>
        <w:gridCol w:w="2033"/>
        <w:gridCol w:w="2033"/>
        <w:gridCol w:w="2033"/>
        <w:gridCol w:w="2033"/>
      </w:tblGrid>
      <w:tr>
        <w:trPr>
          <w:cantSplit/>
          <w:tblHeader w:val="true"/>
        </w:trPr>
        <w:tc>
          <w:tcPr>
            <w:tcW w:type="dxa" w:w="2033"/>
            <w:vAlign w:val="center"/>
            <w:shd w:fill="E9EDF0"/>
          </w:tcPr>
          <w:p>
            <w:pPr>
              <w:spacing w:after="60"/>
            </w:pPr>
            <w:r>
              <w:rPr>
                <w:b/>
                <w:i/>
                <w:sz w:val="22"/>
              </w:rPr>
              <w:t>Unit</w:t>
            </w:r>
          </w:p>
        </w:tc>
        <w:tc>
          <w:tcPr>
            <w:tcW w:type="dxa" w:w="2033"/>
            <w:vAlign w:val="center"/>
            <w:shd w:fill="E9EDF0"/>
          </w:tcPr>
          <w:p>
            <w:pPr>
              <w:spacing w:after="60"/>
            </w:pPr>
            <w:r>
              <w:rPr>
                <w:b/>
                <w:i/>
                <w:sz w:val="22"/>
              </w:rPr>
              <w:t>Physical setting</w:t>
            </w:r>
          </w:p>
        </w:tc>
        <w:tc>
          <w:tcPr>
            <w:tcW w:type="dxa" w:w="2033"/>
            <w:vAlign w:val="center"/>
            <w:shd w:fill="E9EDF0"/>
          </w:tcPr>
          <w:p>
            <w:pPr>
              <w:spacing w:after="60"/>
            </w:pPr>
            <w:r>
              <w:rPr>
                <w:b/>
                <w:i/>
                <w:sz w:val="22"/>
              </w:rPr>
              <w:t>Typical biota</w:t>
            </w:r>
          </w:p>
        </w:tc>
        <w:tc>
          <w:tcPr>
            <w:tcW w:type="dxa" w:w="2033"/>
            <w:vAlign w:val="center"/>
            <w:shd w:fill="E9EDF0"/>
          </w:tcPr>
          <w:p>
            <w:pPr>
              <w:spacing w:after="60"/>
            </w:pPr>
            <w:r>
              <w:rPr>
                <w:b/>
                <w:i/>
                <w:sz w:val="22"/>
              </w:rPr>
              <w:t>Main services</w:t>
            </w:r>
          </w:p>
        </w:tc>
        <w:tc>
          <w:tcPr>
            <w:tcW w:type="dxa" w:w="2033"/>
            <w:vAlign w:val="center"/>
            <w:shd w:fill="E9EDF0"/>
          </w:tcPr>
          <w:p>
            <w:pPr>
              <w:spacing w:after="60"/>
            </w:pPr>
            <w:r>
              <w:rPr>
                <w:b/>
                <w:i/>
                <w:sz w:val="22"/>
              </w:rPr>
              <w:t>Main pressures</w:t>
            </w:r>
          </w:p>
        </w:tc>
      </w:tr>
      <w:tr>
        <w:trPr>
          <w:cantSplit/>
        </w:trPr>
        <w:tc>
          <w:tcPr>
            <w:tcW w:type="dxa" w:w="2033"/>
            <w:vAlign w:val="center"/>
            <w:shd w:fill="FFFFFF"/>
          </w:tcPr>
          <w:p>
            <w:pPr>
              <w:spacing w:after="60"/>
            </w:pPr>
            <w:r>
              <w:rPr>
                <w:b/>
                <w:i/>
                <w:sz w:val="22"/>
              </w:rPr>
              <w:t>Wabash River &amp; floodplain</w:t>
            </w:r>
          </w:p>
        </w:tc>
        <w:tc>
          <w:tcPr>
            <w:tcW w:type="dxa" w:w="2033"/>
            <w:vAlign w:val="center"/>
            <w:shd w:fill="FFFFFF"/>
          </w:tcPr>
          <w:p>
            <w:pPr>
              <w:spacing w:after="60"/>
            </w:pPr>
            <w:r>
              <w:rPr>
                <w:b w:val="0"/>
                <w:i/>
                <w:sz w:val="22"/>
              </w:rPr>
              <w:t>Flowing water, gravel/sand bars, banks, bottomland woods, periodic floods</w:t>
            </w:r>
          </w:p>
        </w:tc>
        <w:tc>
          <w:tcPr>
            <w:tcW w:type="dxa" w:w="2033"/>
            <w:vAlign w:val="center"/>
            <w:shd w:fill="FFFFFF"/>
          </w:tcPr>
          <w:p>
            <w:pPr>
              <w:spacing w:after="60"/>
            </w:pPr>
            <w:r>
              <w:rPr>
                <w:b w:val="0"/>
                <w:i/>
                <w:sz w:val="22"/>
              </w:rPr>
              <w:t>Aquatic insects and fish; sycamore, cottonwood, silver maple; riparian birds and mammals</w:t>
            </w:r>
          </w:p>
        </w:tc>
        <w:tc>
          <w:tcPr>
            <w:tcW w:type="dxa" w:w="2033"/>
            <w:vAlign w:val="center"/>
            <w:shd w:fill="FFFFFF"/>
          </w:tcPr>
          <w:p>
            <w:pPr>
              <w:spacing w:after="60"/>
            </w:pPr>
            <w:r>
              <w:rPr>
                <w:b w:val="0"/>
                <w:i/>
                <w:sz w:val="22"/>
              </w:rPr>
              <w:t>Migration corridor, nutrient transport, flood storage, recreation</w:t>
            </w:r>
          </w:p>
        </w:tc>
        <w:tc>
          <w:tcPr>
            <w:tcW w:type="dxa" w:w="2033"/>
            <w:vAlign w:val="center"/>
            <w:shd w:fill="FFFFFF"/>
          </w:tcPr>
          <w:p>
            <w:pPr>
              <w:spacing w:after="60"/>
            </w:pPr>
            <w:r>
              <w:rPr>
                <w:b w:val="0"/>
                <w:i/>
                <w:sz w:val="22"/>
              </w:rPr>
              <w:t>Bank erosion, contaminated runoff, altered flow, invasive plants</w:t>
            </w:r>
          </w:p>
        </w:tc>
      </w:tr>
      <w:tr>
        <w:trPr>
          <w:cantSplit/>
        </w:trPr>
        <w:tc>
          <w:tcPr>
            <w:tcW w:type="dxa" w:w="2033"/>
            <w:vAlign w:val="center"/>
            <w:shd w:fill="FFFFFF"/>
          </w:tcPr>
          <w:p>
            <w:pPr>
              <w:spacing w:after="60"/>
            </w:pPr>
            <w:r>
              <w:rPr>
                <w:b/>
                <w:i/>
                <w:sz w:val="22"/>
              </w:rPr>
              <w:t>Celery Bog &amp; ponds</w:t>
            </w:r>
          </w:p>
        </w:tc>
        <w:tc>
          <w:tcPr>
            <w:tcW w:type="dxa" w:w="2033"/>
            <w:vAlign w:val="center"/>
            <w:shd w:fill="FFFFFF"/>
          </w:tcPr>
          <w:p>
            <w:pPr>
              <w:spacing w:after="60"/>
            </w:pPr>
            <w:r>
              <w:rPr>
                <w:b w:val="0"/>
                <w:i/>
                <w:sz w:val="22"/>
              </w:rPr>
              <w:t>Shallow water, saturated soils, marsh, wet meadow, open water</w:t>
            </w:r>
          </w:p>
        </w:tc>
        <w:tc>
          <w:tcPr>
            <w:tcW w:type="dxa" w:w="2033"/>
            <w:vAlign w:val="center"/>
            <w:shd w:fill="FFFFFF"/>
          </w:tcPr>
          <w:p>
            <w:pPr>
              <w:spacing w:after="60"/>
            </w:pPr>
            <w:r>
              <w:rPr>
                <w:b w:val="0"/>
                <w:i/>
                <w:sz w:val="22"/>
              </w:rPr>
              <w:t>Cattails, sedges, rushes, willows, algae; waterfowl, amphibians, insects</w:t>
            </w:r>
          </w:p>
        </w:tc>
        <w:tc>
          <w:tcPr>
            <w:tcW w:type="dxa" w:w="2033"/>
            <w:vAlign w:val="center"/>
            <w:shd w:fill="FFFFFF"/>
          </w:tcPr>
          <w:p>
            <w:pPr>
              <w:spacing w:after="60"/>
            </w:pPr>
            <w:r>
              <w:rPr>
                <w:b w:val="0"/>
                <w:i/>
                <w:sz w:val="22"/>
              </w:rPr>
              <w:t>Bird stopover, water storage, filtration, education</w:t>
            </w:r>
          </w:p>
        </w:tc>
        <w:tc>
          <w:tcPr>
            <w:tcW w:type="dxa" w:w="2033"/>
            <w:vAlign w:val="center"/>
            <w:shd w:fill="FFFFFF"/>
          </w:tcPr>
          <w:p>
            <w:pPr>
              <w:spacing w:after="60"/>
            </w:pPr>
            <w:r>
              <w:rPr>
                <w:b w:val="0"/>
                <w:i/>
                <w:sz w:val="22"/>
              </w:rPr>
              <w:t>Nutrient enrichment, sediment, invasive species, hydrologic alteration</w:t>
            </w:r>
          </w:p>
        </w:tc>
      </w:tr>
      <w:tr>
        <w:trPr>
          <w:cantSplit/>
        </w:trPr>
        <w:tc>
          <w:tcPr>
            <w:tcW w:type="dxa" w:w="2033"/>
            <w:vAlign w:val="center"/>
            <w:shd w:fill="FFFFFF"/>
          </w:tcPr>
          <w:p>
            <w:pPr>
              <w:spacing w:after="60"/>
            </w:pPr>
            <w:r>
              <w:rPr>
                <w:b/>
                <w:i/>
                <w:sz w:val="22"/>
              </w:rPr>
              <w:t>Ravine &amp; upland woods</w:t>
            </w:r>
          </w:p>
        </w:tc>
        <w:tc>
          <w:tcPr>
            <w:tcW w:type="dxa" w:w="2033"/>
            <w:vAlign w:val="center"/>
            <w:shd w:fill="FFFFFF"/>
          </w:tcPr>
          <w:p>
            <w:pPr>
              <w:spacing w:after="60"/>
            </w:pPr>
            <w:r>
              <w:rPr>
                <w:b w:val="0"/>
                <w:i/>
                <w:sz w:val="22"/>
              </w:rPr>
              <w:t>Shaded slopes, leaf litter, woody debris, seasonal streams</w:t>
            </w:r>
          </w:p>
        </w:tc>
        <w:tc>
          <w:tcPr>
            <w:tcW w:type="dxa" w:w="2033"/>
            <w:vAlign w:val="center"/>
            <w:shd w:fill="FFFFFF"/>
          </w:tcPr>
          <w:p>
            <w:pPr>
              <w:spacing w:after="60"/>
            </w:pPr>
            <w:r>
              <w:rPr>
                <w:b w:val="0"/>
                <w:i/>
                <w:sz w:val="22"/>
              </w:rPr>
              <w:t>Oak-hickory remnants, maple, tulip tree; fungi, songbirds, turtles</w:t>
            </w:r>
          </w:p>
        </w:tc>
        <w:tc>
          <w:tcPr>
            <w:tcW w:type="dxa" w:w="2033"/>
            <w:vAlign w:val="center"/>
            <w:shd w:fill="FFFFFF"/>
          </w:tcPr>
          <w:p>
            <w:pPr>
              <w:spacing w:after="60"/>
            </w:pPr>
            <w:r>
              <w:rPr>
                <w:b w:val="0"/>
                <w:i/>
                <w:sz w:val="22"/>
              </w:rPr>
              <w:t>Cooling, carbon storage, soil protection, refuge habitat</w:t>
            </w:r>
          </w:p>
        </w:tc>
        <w:tc>
          <w:tcPr>
            <w:tcW w:type="dxa" w:w="2033"/>
            <w:vAlign w:val="center"/>
            <w:shd w:fill="FFFFFF"/>
          </w:tcPr>
          <w:p>
            <w:pPr>
              <w:spacing w:after="60"/>
            </w:pPr>
            <w:r>
              <w:rPr>
                <w:b w:val="0"/>
                <w:i/>
                <w:sz w:val="22"/>
              </w:rPr>
              <w:t>Fragmentation, deer browse, honeysuckle, stormwater incision</w:t>
            </w:r>
          </w:p>
        </w:tc>
      </w:tr>
      <w:tr>
        <w:trPr>
          <w:cantSplit/>
        </w:trPr>
        <w:tc>
          <w:tcPr>
            <w:tcW w:type="dxa" w:w="2033"/>
            <w:vAlign w:val="center"/>
            <w:shd w:fill="FFFFFF"/>
          </w:tcPr>
          <w:p>
            <w:pPr>
              <w:spacing w:after="60"/>
            </w:pPr>
            <w:r>
              <w:rPr>
                <w:b/>
                <w:i/>
                <w:sz w:val="22"/>
              </w:rPr>
              <w:t>Campus, parks &amp; yards</w:t>
            </w:r>
          </w:p>
        </w:tc>
        <w:tc>
          <w:tcPr>
            <w:tcW w:type="dxa" w:w="2033"/>
            <w:vAlign w:val="center"/>
            <w:shd w:fill="FFFFFF"/>
          </w:tcPr>
          <w:p>
            <w:pPr>
              <w:spacing w:after="60"/>
            </w:pPr>
            <w:r>
              <w:rPr>
                <w:b w:val="0"/>
                <w:i/>
                <w:sz w:val="22"/>
              </w:rPr>
              <w:t>Mown lawn, planted trees, gardens, buildings and impervious surfaces</w:t>
            </w:r>
          </w:p>
        </w:tc>
        <w:tc>
          <w:tcPr>
            <w:tcW w:type="dxa" w:w="2033"/>
            <w:vAlign w:val="center"/>
            <w:shd w:fill="FFFFFF"/>
          </w:tcPr>
          <w:p>
            <w:pPr>
              <w:spacing w:after="60"/>
            </w:pPr>
            <w:r>
              <w:rPr>
                <w:b w:val="0"/>
                <w:i/>
                <w:sz w:val="22"/>
              </w:rPr>
              <w:t>Managed trees/shrubs, turf, ornamentals; adaptable birds, insects and mammals</w:t>
            </w:r>
          </w:p>
        </w:tc>
        <w:tc>
          <w:tcPr>
            <w:tcW w:type="dxa" w:w="2033"/>
            <w:vAlign w:val="center"/>
            <w:shd w:fill="FFFFFF"/>
          </w:tcPr>
          <w:p>
            <w:pPr>
              <w:spacing w:after="60"/>
            </w:pPr>
            <w:r>
              <w:rPr>
                <w:b w:val="0"/>
                <w:i/>
                <w:sz w:val="22"/>
              </w:rPr>
              <w:t>Shade, cooling, infiltration, pollinator habitat, human well-being</w:t>
            </w:r>
          </w:p>
        </w:tc>
        <w:tc>
          <w:tcPr>
            <w:tcW w:type="dxa" w:w="2033"/>
            <w:vAlign w:val="center"/>
            <w:shd w:fill="FFFFFF"/>
          </w:tcPr>
          <w:p>
            <w:pPr>
              <w:spacing w:after="60"/>
            </w:pPr>
            <w:r>
              <w:rPr>
                <w:b w:val="0"/>
                <w:i/>
                <w:sz w:val="22"/>
              </w:rPr>
              <w:t>Heat island, pesticides, night lighting, low plant diversity, collisions</w:t>
            </w:r>
          </w:p>
        </w:tc>
      </w:tr>
      <w:tr>
        <w:trPr>
          <w:cantSplit/>
        </w:trPr>
        <w:tc>
          <w:tcPr>
            <w:tcW w:type="dxa" w:w="2033"/>
            <w:vAlign w:val="center"/>
            <w:shd w:fill="FFFFFF"/>
          </w:tcPr>
          <w:p>
            <w:pPr>
              <w:spacing w:after="60"/>
            </w:pPr>
            <w:r>
              <w:rPr>
                <w:b/>
                <w:i/>
                <w:sz w:val="22"/>
              </w:rPr>
              <w:t>Agricultural edge</w:t>
            </w:r>
          </w:p>
        </w:tc>
        <w:tc>
          <w:tcPr>
            <w:tcW w:type="dxa" w:w="2033"/>
            <w:vAlign w:val="center"/>
            <w:shd w:fill="FFFFFF"/>
          </w:tcPr>
          <w:p>
            <w:pPr>
              <w:spacing w:after="60"/>
            </w:pPr>
            <w:r>
              <w:rPr>
                <w:b w:val="0"/>
                <w:i/>
                <w:sz w:val="22"/>
              </w:rPr>
              <w:t>Large annual crop fields, drainage ditches, field margins</w:t>
            </w:r>
          </w:p>
        </w:tc>
        <w:tc>
          <w:tcPr>
            <w:tcW w:type="dxa" w:w="2033"/>
            <w:vAlign w:val="center"/>
            <w:shd w:fill="FFFFFF"/>
          </w:tcPr>
          <w:p>
            <w:pPr>
              <w:spacing w:after="60"/>
            </w:pPr>
            <w:r>
              <w:rPr>
                <w:b w:val="0"/>
                <w:i/>
                <w:sz w:val="22"/>
              </w:rPr>
              <w:t>Corn/soybean matrix; weeds, insects, small mammals, raptors</w:t>
            </w:r>
          </w:p>
        </w:tc>
        <w:tc>
          <w:tcPr>
            <w:tcW w:type="dxa" w:w="2033"/>
            <w:vAlign w:val="center"/>
            <w:shd w:fill="FFFFFF"/>
          </w:tcPr>
          <w:p>
            <w:pPr>
              <w:spacing w:after="60"/>
            </w:pPr>
            <w:r>
              <w:rPr>
                <w:b w:val="0"/>
                <w:i/>
                <w:sz w:val="22"/>
              </w:rPr>
              <w:t>Food production; seasonal open habitat</w:t>
            </w:r>
          </w:p>
        </w:tc>
        <w:tc>
          <w:tcPr>
            <w:tcW w:type="dxa" w:w="2033"/>
            <w:vAlign w:val="center"/>
            <w:shd w:fill="FFFFFF"/>
          </w:tcPr>
          <w:p>
            <w:pPr>
              <w:spacing w:after="60"/>
            </w:pPr>
            <w:r>
              <w:rPr>
                <w:b w:val="0"/>
                <w:i/>
                <w:sz w:val="22"/>
              </w:rPr>
              <w:t>Soil loss, nutrient/pesticide runoff, little winter cover, simplified food web</w:t>
            </w:r>
          </w:p>
        </w:tc>
      </w:tr>
      <w:tr>
        <w:trPr>
          <w:cantSplit/>
        </w:trPr>
        <w:tc>
          <w:tcPr>
            <w:tcW w:type="dxa" w:w="2033"/>
            <w:vAlign w:val="center"/>
            <w:shd w:fill="FFFFFF"/>
          </w:tcPr>
          <w:p>
            <w:pPr>
              <w:spacing w:after="60"/>
            </w:pPr>
            <w:r>
              <w:rPr>
                <w:b/>
                <w:i/>
                <w:sz w:val="22"/>
              </w:rPr>
              <w:t>Built and transportation network</w:t>
            </w:r>
          </w:p>
        </w:tc>
        <w:tc>
          <w:tcPr>
            <w:tcW w:type="dxa" w:w="2033"/>
            <w:vAlign w:val="center"/>
            <w:shd w:fill="FFFFFF"/>
          </w:tcPr>
          <w:p>
            <w:pPr>
              <w:spacing w:after="60"/>
            </w:pPr>
            <w:r>
              <w:rPr>
                <w:b w:val="0"/>
                <w:i/>
                <w:sz w:val="22"/>
              </w:rPr>
              <w:t>Roads, roofs, parking, rail and storm drains</w:t>
            </w:r>
          </w:p>
        </w:tc>
        <w:tc>
          <w:tcPr>
            <w:tcW w:type="dxa" w:w="2033"/>
            <w:vAlign w:val="center"/>
            <w:shd w:fill="FFFFFF"/>
          </w:tcPr>
          <w:p>
            <w:pPr>
              <w:spacing w:after="60"/>
            </w:pPr>
            <w:r>
              <w:rPr>
                <w:b w:val="0"/>
                <w:i/>
                <w:sz w:val="22"/>
              </w:rPr>
              <w:t>Sparse vegetation; disturbance-tolerant species</w:t>
            </w:r>
          </w:p>
        </w:tc>
        <w:tc>
          <w:tcPr>
            <w:tcW w:type="dxa" w:w="2033"/>
            <w:vAlign w:val="center"/>
            <w:shd w:fill="FFFFFF"/>
          </w:tcPr>
          <w:p>
            <w:pPr>
              <w:spacing w:after="60"/>
            </w:pPr>
            <w:r>
              <w:rPr>
                <w:b w:val="0"/>
                <w:i/>
                <w:sz w:val="22"/>
              </w:rPr>
              <w:t>Human movement and services</w:t>
            </w:r>
          </w:p>
        </w:tc>
        <w:tc>
          <w:tcPr>
            <w:tcW w:type="dxa" w:w="2033"/>
            <w:vAlign w:val="center"/>
            <w:shd w:fill="FFFFFF"/>
          </w:tcPr>
          <w:p>
            <w:pPr>
              <w:spacing w:after="60"/>
            </w:pPr>
            <w:r>
              <w:rPr>
                <w:b w:val="0"/>
                <w:i/>
                <w:sz w:val="22"/>
              </w:rPr>
              <w:t>Habitat loss, runoff pulses, noise/light, road mortality, barriers</w:t>
            </w:r>
          </w:p>
        </w:tc>
      </w:tr>
    </w:tbl>
    <w:p>
      <w:pPr>
        <w:spacing w:after="20"/>
      </w:pPr>
    </w:p>
    <w:p>
      <w:pPr>
        <w:pStyle w:val="Heading2"/>
      </w:pPr>
      <w:r>
        <w:t>Characteristic vegetation pattern</w:t>
      </w:r>
    </w:p>
    <w:p>
      <w:pPr>
        <w:pStyle w:val="ListBullet"/>
      </w:pPr>
      <w:r>
        <w:rPr>
          <w:b/>
          <w:i/>
        </w:rPr>
        <w:t xml:space="preserve">Floodplain and streambank: </w:t>
      </w:r>
      <w:r>
        <w:rPr>
          <w:b/>
          <w:i/>
        </w:rPr>
        <w:t>American sycamore, eastern cottonwood, silver maple, willow, wetland herbs, and vines; composition changes with flooding and disturbance.</w:t>
      </w:r>
    </w:p>
    <w:p>
      <w:pPr>
        <w:pStyle w:val="ListBullet"/>
      </w:pPr>
      <w:r>
        <w:rPr>
          <w:b/>
          <w:i/>
        </w:rPr>
        <w:t xml:space="preserve">Upland and ravine woods: </w:t>
      </w:r>
      <w:r>
        <w:rPr>
          <w:b/>
          <w:i/>
        </w:rPr>
        <w:t>oak-hickory remnants mixed with maple, tulip tree, black walnut, hackberry, pawpaw, spring ephemerals, fungi, and a deep leaf-litter food web.</w:t>
      </w:r>
    </w:p>
    <w:p>
      <w:pPr>
        <w:pStyle w:val="ListBullet"/>
      </w:pPr>
      <w:r>
        <w:rPr>
          <w:b/>
          <w:i/>
        </w:rPr>
        <w:t xml:space="preserve">Wetlands and wet meadows: </w:t>
      </w:r>
      <w:r>
        <w:rPr>
          <w:b/>
          <w:i/>
        </w:rPr>
        <w:t>sedges, rushes, cattails, smartweeds, willows, aquatic plants, algae, and exposed mud used by migrating shorebirds.</w:t>
      </w:r>
    </w:p>
    <w:p>
      <w:pPr>
        <w:pStyle w:val="ListBullet"/>
      </w:pPr>
      <w:r>
        <w:rPr>
          <w:b/>
          <w:i/>
        </w:rPr>
        <w:t xml:space="preserve">Managed urban layer: </w:t>
      </w:r>
      <w:r>
        <w:rPr>
          <w:b/>
          <w:i/>
        </w:rPr>
        <w:t>mature street and campus trees, turf, ornamental shrubs, gardens, vacant-lot vegetation, and native plantings—often biologically useful but structurally simplified.</w:t>
      </w:r>
    </w:p>
    <w:p>
      <w:pPr>
        <w:pStyle w:val="Heading2"/>
      </w:pPr>
      <w:r>
        <w:t>Local disturbance regime</w:t>
      </w:r>
    </w:p>
    <w:p>
      <w:r>
        <w:rPr>
          <w:b w:val="0"/>
          <w:i w:val="0"/>
        </w:rPr>
        <w:t>Floods, thunderstorms, wind, freeze-thaw cycles, drought, heat, fire suppression, mowing, pruning, construction, road salt, drainage work, and crop operations repeatedly reset habitat. In the modern city, management frequency often matters as much as soil or climate.</w:t>
      </w:r>
    </w:p>
    <w:p>
      <w:pPr>
        <w:pStyle w:val="Heading2"/>
      </w:pPr>
      <w:r>
        <w:t>4. Four representative fauna</w:t>
      </w:r>
    </w:p>
    <w:tbl>
      <w:tblPr>
        <w:tblW w:type="auto" w:w="0"/>
        <w:jc w:val="center"/>
        <w:tblLayout w:type="autofit"/>
        <w:tblLook w:firstColumn="1" w:firstRow="1" w:lastColumn="0" w:lastRow="0" w:noHBand="0" w:noVBand="1" w:val="04A0"/>
      </w:tblPr>
      <w:tblGrid>
        <w:gridCol w:w="2033"/>
        <w:gridCol w:w="2033"/>
        <w:gridCol w:w="2033"/>
        <w:gridCol w:w="2033"/>
        <w:gridCol w:w="2033"/>
      </w:tblGrid>
      <w:tr>
        <w:trPr>
          <w:cantSplit/>
          <w:tblHeader w:val="true"/>
        </w:trPr>
        <w:tc>
          <w:tcPr>
            <w:tcW w:type="dxa" w:w="2033"/>
            <w:vAlign w:val="center"/>
            <w:shd w:fill="E9EDF0"/>
          </w:tcPr>
          <w:p>
            <w:pPr>
              <w:spacing w:after="60"/>
            </w:pPr>
            <w:r>
              <w:rPr>
                <w:b/>
                <w:i/>
                <w:sz w:val="22"/>
              </w:rPr>
              <w:t>Species</w:t>
            </w:r>
          </w:p>
        </w:tc>
        <w:tc>
          <w:tcPr>
            <w:tcW w:type="dxa" w:w="2033"/>
            <w:vAlign w:val="center"/>
            <w:shd w:fill="E9EDF0"/>
          </w:tcPr>
          <w:p>
            <w:pPr>
              <w:spacing w:after="60"/>
            </w:pPr>
            <w:r>
              <w:rPr>
                <w:b/>
                <w:i/>
                <w:sz w:val="22"/>
              </w:rPr>
              <w:t>Scientific name</w:t>
            </w:r>
          </w:p>
        </w:tc>
        <w:tc>
          <w:tcPr>
            <w:tcW w:type="dxa" w:w="2033"/>
            <w:vAlign w:val="center"/>
            <w:shd w:fill="E9EDF0"/>
          </w:tcPr>
          <w:p>
            <w:pPr>
              <w:spacing w:after="60"/>
            </w:pPr>
            <w:r>
              <w:rPr>
                <w:b/>
                <w:i/>
                <w:sz w:val="22"/>
              </w:rPr>
              <w:t>Local habitat</w:t>
            </w:r>
          </w:p>
        </w:tc>
        <w:tc>
          <w:tcPr>
            <w:tcW w:type="dxa" w:w="2033"/>
            <w:vAlign w:val="center"/>
            <w:shd w:fill="E9EDF0"/>
          </w:tcPr>
          <w:p>
            <w:pPr>
              <w:spacing w:after="60"/>
            </w:pPr>
            <w:r>
              <w:rPr>
                <w:b/>
                <w:i/>
                <w:sz w:val="22"/>
              </w:rPr>
              <w:t>Ecological role / concern</w:t>
            </w:r>
          </w:p>
        </w:tc>
        <w:tc>
          <w:tcPr>
            <w:tcW w:type="dxa" w:w="2033"/>
            <w:vAlign w:val="center"/>
            <w:shd w:fill="E9EDF0"/>
          </w:tcPr>
          <w:p>
            <w:pPr>
              <w:spacing w:after="60"/>
            </w:pPr>
            <w:r>
              <w:rPr>
                <w:b/>
                <w:i/>
                <w:sz w:val="22"/>
              </w:rPr>
              <w:t>Recognition / observation</w:t>
            </w:r>
          </w:p>
        </w:tc>
      </w:tr>
      <w:tr>
        <w:trPr>
          <w:cantSplit/>
        </w:trPr>
        <w:tc>
          <w:tcPr>
            <w:tcW w:type="dxa" w:w="2033"/>
            <w:vAlign w:val="center"/>
            <w:shd w:fill="FFFFFF"/>
          </w:tcPr>
          <w:p>
            <w:pPr>
              <w:spacing w:after="60"/>
            </w:pPr>
            <w:r>
              <w:rPr>
                <w:b/>
                <w:i/>
                <w:sz w:val="22"/>
              </w:rPr>
              <w:t>White-tailed deer</w:t>
            </w:r>
          </w:p>
        </w:tc>
        <w:tc>
          <w:tcPr>
            <w:tcW w:type="dxa" w:w="2033"/>
            <w:vAlign w:val="center"/>
            <w:shd w:fill="FFFFFF"/>
          </w:tcPr>
          <w:p>
            <w:pPr>
              <w:spacing w:after="60"/>
            </w:pPr>
            <w:r>
              <w:rPr>
                <w:b w:val="0"/>
                <w:i/>
                <w:sz w:val="22"/>
              </w:rPr>
              <w:t>Odocoileus virginianus</w:t>
            </w:r>
          </w:p>
        </w:tc>
        <w:tc>
          <w:tcPr>
            <w:tcW w:type="dxa" w:w="2033"/>
            <w:vAlign w:val="center"/>
            <w:shd w:fill="FFFFFF"/>
          </w:tcPr>
          <w:p>
            <w:pPr>
              <w:spacing w:after="60"/>
            </w:pPr>
            <w:r>
              <w:rPr>
                <w:b w:val="0"/>
                <w:i/>
                <w:sz w:val="22"/>
              </w:rPr>
              <w:t>Wood edges, parks, riparian corridors, large yards</w:t>
            </w:r>
          </w:p>
        </w:tc>
        <w:tc>
          <w:tcPr>
            <w:tcW w:type="dxa" w:w="2033"/>
            <w:vAlign w:val="center"/>
            <w:shd w:fill="FFFFFF"/>
          </w:tcPr>
          <w:p>
            <w:pPr>
              <w:spacing w:after="60"/>
            </w:pPr>
            <w:r>
              <w:rPr>
                <w:b w:val="0"/>
                <w:i/>
                <w:sz w:val="22"/>
              </w:rPr>
              <w:t>Large browser and seed disperser; can suppress woodland regeneration where abundant</w:t>
            </w:r>
          </w:p>
        </w:tc>
        <w:tc>
          <w:tcPr>
            <w:tcW w:type="dxa" w:w="2033"/>
            <w:vAlign w:val="center"/>
            <w:shd w:fill="FFFFFF"/>
          </w:tcPr>
          <w:p>
            <w:pPr>
              <w:spacing w:after="60"/>
            </w:pPr>
            <w:r>
              <w:rPr>
                <w:b w:val="0"/>
                <w:i/>
                <w:sz w:val="22"/>
              </w:rPr>
              <w:t>Tracks, browse line, pellets; most active around dawn and dusk</w:t>
            </w:r>
          </w:p>
        </w:tc>
      </w:tr>
      <w:tr>
        <w:trPr>
          <w:cantSplit/>
        </w:trPr>
        <w:tc>
          <w:tcPr>
            <w:tcW w:type="dxa" w:w="2033"/>
            <w:vAlign w:val="center"/>
            <w:shd w:fill="FFFFFF"/>
          </w:tcPr>
          <w:p>
            <w:pPr>
              <w:spacing w:after="60"/>
            </w:pPr>
            <w:r>
              <w:rPr>
                <w:b/>
                <w:i/>
                <w:sz w:val="22"/>
              </w:rPr>
              <w:t>Northern cardinal</w:t>
            </w:r>
          </w:p>
        </w:tc>
        <w:tc>
          <w:tcPr>
            <w:tcW w:type="dxa" w:w="2033"/>
            <w:vAlign w:val="center"/>
            <w:shd w:fill="FFFFFF"/>
          </w:tcPr>
          <w:p>
            <w:pPr>
              <w:spacing w:after="60"/>
            </w:pPr>
            <w:r>
              <w:rPr>
                <w:b w:val="0"/>
                <w:i/>
                <w:sz w:val="22"/>
              </w:rPr>
              <w:t>Cardinalis cardinalis</w:t>
            </w:r>
          </w:p>
        </w:tc>
        <w:tc>
          <w:tcPr>
            <w:tcW w:type="dxa" w:w="2033"/>
            <w:vAlign w:val="center"/>
            <w:shd w:fill="FFFFFF"/>
          </w:tcPr>
          <w:p>
            <w:pPr>
              <w:spacing w:after="60"/>
            </w:pPr>
            <w:r>
              <w:rPr>
                <w:b w:val="0"/>
                <w:i/>
                <w:sz w:val="22"/>
              </w:rPr>
              <w:t>Shrub layers, gardens, woodland edges, stream corridors</w:t>
            </w:r>
          </w:p>
        </w:tc>
        <w:tc>
          <w:tcPr>
            <w:tcW w:type="dxa" w:w="2033"/>
            <w:vAlign w:val="center"/>
            <w:shd w:fill="FFFFFF"/>
          </w:tcPr>
          <w:p>
            <w:pPr>
              <w:spacing w:after="60"/>
            </w:pPr>
            <w:r>
              <w:rPr>
                <w:b w:val="0"/>
                <w:i/>
                <w:sz w:val="22"/>
              </w:rPr>
              <w:t>Resident seed eater and insect predator; indicator of usable dense shrub cover</w:t>
            </w:r>
          </w:p>
        </w:tc>
        <w:tc>
          <w:tcPr>
            <w:tcW w:type="dxa" w:w="2033"/>
            <w:vAlign w:val="center"/>
            <w:shd w:fill="FFFFFF"/>
          </w:tcPr>
          <w:p>
            <w:pPr>
              <w:spacing w:after="60"/>
            </w:pPr>
            <w:r>
              <w:rPr>
                <w:b w:val="0"/>
                <w:i/>
                <w:sz w:val="22"/>
              </w:rPr>
              <w:t>Year-round; male bright red, female warm brown with red accents</w:t>
            </w:r>
          </w:p>
        </w:tc>
      </w:tr>
      <w:tr>
        <w:trPr>
          <w:cantSplit/>
        </w:trPr>
        <w:tc>
          <w:tcPr>
            <w:tcW w:type="dxa" w:w="2033"/>
            <w:vAlign w:val="center"/>
            <w:shd w:fill="FFFFFF"/>
          </w:tcPr>
          <w:p>
            <w:pPr>
              <w:spacing w:after="60"/>
            </w:pPr>
            <w:r>
              <w:rPr>
                <w:b/>
                <w:i/>
                <w:sz w:val="22"/>
              </w:rPr>
              <w:t>Eastern box turtle</w:t>
            </w:r>
          </w:p>
        </w:tc>
        <w:tc>
          <w:tcPr>
            <w:tcW w:type="dxa" w:w="2033"/>
            <w:vAlign w:val="center"/>
            <w:shd w:fill="FFFFFF"/>
          </w:tcPr>
          <w:p>
            <w:pPr>
              <w:spacing w:after="60"/>
            </w:pPr>
            <w:r>
              <w:rPr>
                <w:b w:val="0"/>
                <w:i/>
                <w:sz w:val="22"/>
              </w:rPr>
              <w:t>Terrapene carolina carolina</w:t>
            </w:r>
          </w:p>
        </w:tc>
        <w:tc>
          <w:tcPr>
            <w:tcW w:type="dxa" w:w="2033"/>
            <w:vAlign w:val="center"/>
            <w:shd w:fill="FFFFFF"/>
          </w:tcPr>
          <w:p>
            <w:pPr>
              <w:spacing w:after="60"/>
            </w:pPr>
            <w:r>
              <w:rPr>
                <w:b w:val="0"/>
                <w:i/>
                <w:sz w:val="22"/>
              </w:rPr>
              <w:t>Moist deciduous woods, leaf litter, edges and nearby openings</w:t>
            </w:r>
          </w:p>
        </w:tc>
        <w:tc>
          <w:tcPr>
            <w:tcW w:type="dxa" w:w="2033"/>
            <w:vAlign w:val="center"/>
            <w:shd w:fill="FFFFFF"/>
          </w:tcPr>
          <w:p>
            <w:pPr>
              <w:spacing w:after="60"/>
            </w:pPr>
            <w:r>
              <w:rPr>
                <w:b w:val="0"/>
                <w:i/>
                <w:sz w:val="22"/>
              </w:rPr>
              <w:t>Long-lived forest-floor omnivore; disperses seeds and consumes invertebrates/carrion</w:t>
            </w:r>
          </w:p>
        </w:tc>
        <w:tc>
          <w:tcPr>
            <w:tcW w:type="dxa" w:w="2033"/>
            <w:vAlign w:val="center"/>
            <w:shd w:fill="FFFFFF"/>
          </w:tcPr>
          <w:p>
            <w:pPr>
              <w:spacing w:after="60"/>
            </w:pPr>
            <w:r>
              <w:rPr>
                <w:b w:val="0"/>
                <w:i/>
                <w:sz w:val="22"/>
              </w:rPr>
              <w:t>Slow-moving and vulnerable to roads, mowers, collection, and habitat fragmentation</w:t>
            </w:r>
          </w:p>
        </w:tc>
      </w:tr>
      <w:tr>
        <w:trPr>
          <w:cantSplit/>
        </w:trPr>
        <w:tc>
          <w:tcPr>
            <w:tcW w:type="dxa" w:w="2033"/>
            <w:vAlign w:val="center"/>
            <w:shd w:fill="FFFFFF"/>
          </w:tcPr>
          <w:p>
            <w:pPr>
              <w:spacing w:after="60"/>
            </w:pPr>
            <w:r>
              <w:rPr>
                <w:b/>
                <w:i/>
                <w:sz w:val="22"/>
              </w:rPr>
              <w:t>Monarch butterfly</w:t>
            </w:r>
          </w:p>
        </w:tc>
        <w:tc>
          <w:tcPr>
            <w:tcW w:type="dxa" w:w="2033"/>
            <w:vAlign w:val="center"/>
            <w:shd w:fill="FFFFFF"/>
          </w:tcPr>
          <w:p>
            <w:pPr>
              <w:spacing w:after="60"/>
            </w:pPr>
            <w:r>
              <w:rPr>
                <w:b w:val="0"/>
                <w:i/>
                <w:sz w:val="22"/>
              </w:rPr>
              <w:t>Danaus plexippus</w:t>
            </w:r>
          </w:p>
        </w:tc>
        <w:tc>
          <w:tcPr>
            <w:tcW w:type="dxa" w:w="2033"/>
            <w:vAlign w:val="center"/>
            <w:shd w:fill="FFFFFF"/>
          </w:tcPr>
          <w:p>
            <w:pPr>
              <w:spacing w:after="60"/>
            </w:pPr>
            <w:r>
              <w:rPr>
                <w:b w:val="0"/>
                <w:i/>
                <w:sz w:val="22"/>
              </w:rPr>
              <w:t>Sunny gardens, meadows, roadsides, field margins</w:t>
            </w:r>
          </w:p>
        </w:tc>
        <w:tc>
          <w:tcPr>
            <w:tcW w:type="dxa" w:w="2033"/>
            <w:vAlign w:val="center"/>
            <w:shd w:fill="FFFFFF"/>
          </w:tcPr>
          <w:p>
            <w:pPr>
              <w:spacing w:after="60"/>
            </w:pPr>
            <w:r>
              <w:rPr>
                <w:b w:val="0"/>
                <w:i/>
                <w:sz w:val="22"/>
              </w:rPr>
              <w:t>Migratory pollinator; larvae require milkweeds, adults require season-long nectar</w:t>
            </w:r>
          </w:p>
        </w:tc>
        <w:tc>
          <w:tcPr>
            <w:tcW w:type="dxa" w:w="2033"/>
            <w:vAlign w:val="center"/>
            <w:shd w:fill="FFFFFF"/>
          </w:tcPr>
          <w:p>
            <w:pPr>
              <w:spacing w:after="60"/>
            </w:pPr>
            <w:r>
              <w:rPr>
                <w:b w:val="0"/>
                <w:i/>
                <w:sz w:val="22"/>
              </w:rPr>
              <w:t>Best supported by native milkweeds plus pesticide-free flowers from spring through fall</w:t>
            </w:r>
          </w:p>
        </w:tc>
      </w:tr>
    </w:tbl>
    <w:p>
      <w:pPr>
        <w:spacing w:after="20"/>
      </w:pPr>
    </w:p>
    <w:p>
      <w:pPr>
        <w:pStyle w:val="Heading2"/>
      </w:pPr>
      <w:r>
        <w:t>5. Energy flow, water flow, and seasonal change</w:t>
      </w:r>
    </w:p>
    <w:p>
      <w:pPr>
        <w:pStyle w:val="ListBullet"/>
      </w:pPr>
      <w:r>
        <w:rPr>
          <w:b/>
          <w:i/>
        </w:rPr>
        <w:t xml:space="preserve">Spring: </w:t>
      </w:r>
      <w:r>
        <w:rPr>
          <w:b/>
          <w:i/>
        </w:rPr>
        <w:t>flood pulses, wet soils, amphibian breeding, leaf-out, migratory birds, and rapid lawn/crop growth.</w:t>
      </w:r>
    </w:p>
    <w:p>
      <w:pPr>
        <w:pStyle w:val="ListBullet"/>
      </w:pPr>
      <w:r>
        <w:rPr>
          <w:b/>
          <w:i/>
        </w:rPr>
        <w:t xml:space="preserve">Summer: </w:t>
      </w:r>
      <w:r>
        <w:rPr>
          <w:b/>
          <w:i/>
        </w:rPr>
        <w:t>high photosynthesis and insect activity; heat islands and drought stress are strongest on pavement and exposed lawns.</w:t>
      </w:r>
    </w:p>
    <w:p>
      <w:pPr>
        <w:pStyle w:val="ListBullet"/>
      </w:pPr>
      <w:r>
        <w:rPr>
          <w:b/>
          <w:i/>
        </w:rPr>
        <w:t xml:space="preserve">Autumn: </w:t>
      </w:r>
      <w:r>
        <w:rPr>
          <w:b/>
          <w:i/>
        </w:rPr>
        <w:t>seed and fruit production, bird migration, leaf fall, decomposition, and crop harvest shift food and cover.</w:t>
      </w:r>
    </w:p>
    <w:p>
      <w:pPr>
        <w:pStyle w:val="ListBullet"/>
      </w:pPr>
      <w:r>
        <w:rPr>
          <w:b/>
          <w:i/>
        </w:rPr>
        <w:t xml:space="preserve">Winter: </w:t>
      </w:r>
      <w:r>
        <w:rPr>
          <w:b/>
          <w:i/>
        </w:rPr>
        <w:t>deciduous canopy opens; dormant vegetation, frozen soil episodes, snow, salt, and reduced cover concentrate animals in refuges.</w:t>
      </w:r>
    </w:p>
    <w:p>
      <w:pPr>
        <w:pStyle w:val="ListBullet"/>
      </w:pPr>
      <w:r>
        <w:rPr>
          <w:b/>
          <w:i/>
        </w:rPr>
        <w:t xml:space="preserve">Food-web base: </w:t>
      </w:r>
      <w:r>
        <w:rPr>
          <w:b/>
          <w:i/>
        </w:rPr>
        <w:t>trees, grasses, wetland plants, algae, crops, garden plants, and detritus support insects, herbivores, omnivores, predators, fungi, and microbes.</w:t>
      </w:r>
    </w:p>
    <w:p>
      <w:pPr>
        <w:pStyle w:val="Heading2"/>
      </w:pPr>
      <w:r>
        <w:t>6. Connectivity: the decisive issue</w:t>
      </w:r>
    </w:p>
    <w:p>
      <w:r>
        <w:rPr>
          <w:b w:val="0"/>
          <w:i w:val="0"/>
        </w:rPr>
        <w:t>The Wabash corridor, ravines, Celery Bog, parks, mature street trees, campus greens, yards, and field margins can function as one loose ecological network. Its performance depends less on any single patch than on whether organisms and water can move among patches without repeated lethal barriers.</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vAlign w:val="center"/>
            <w:shd w:fill="E9EDF0"/>
          </w:tcPr>
          <w:p>
            <w:pPr>
              <w:spacing w:after="60"/>
            </w:pPr>
            <w:r>
              <w:rPr>
                <w:b/>
                <w:i/>
                <w:sz w:val="22"/>
              </w:rPr>
              <w:t xml:space="preserve">LOCAL LEVERAGE POINTS  </w:t>
            </w:r>
            <w:r>
              <w:rPr>
                <w:b/>
                <w:i/>
                <w:sz w:val="22"/>
              </w:rPr>
              <w:t>Protect floodplains and wooded ravines; reduce impervious runoff; replace isolated lawn with layered native vegetation; control invasive shrubs; retain leaf litter and dead wood where safe; reduce unnecessary night lighting; and connect habitat patches across properties.</w:t>
            </w:r>
          </w:p>
        </w:tc>
      </w:tr>
    </w:tbl>
    <w:p>
      <w:pPr>
        <w:spacing w:after="20"/>
      </w:pPr>
    </w:p>
    <w:p>
      <w:pPr>
        <w:pStyle w:val="Heading2"/>
      </w:pPr>
      <w:r>
        <w:t>7. Rapid site-assessment checklist</w:t>
      </w:r>
    </w:p>
    <w:p>
      <w:pPr>
        <w:pStyle w:val="ListBullet"/>
      </w:pPr>
      <w:r>
        <w:rPr>
          <w:b/>
          <w:i/>
        </w:rPr>
        <w:t>Where does rainwater go from this site?</w:t>
      </w:r>
    </w:p>
    <w:p>
      <w:pPr>
        <w:pStyle w:val="ListBullet"/>
      </w:pPr>
      <w:r>
        <w:rPr>
          <w:b/>
          <w:i/>
        </w:rPr>
        <w:t>What native canopy, shrub, herb, and ground layers are present?</w:t>
      </w:r>
    </w:p>
    <w:p>
      <w:pPr>
        <w:pStyle w:val="ListBullet"/>
      </w:pPr>
      <w:r>
        <w:rPr>
          <w:b/>
          <w:i/>
        </w:rPr>
        <w:t>Is the patch connected to water, woods, parks, or another vegetated patch?</w:t>
      </w:r>
    </w:p>
    <w:p>
      <w:pPr>
        <w:pStyle w:val="ListBullet"/>
      </w:pPr>
      <w:r>
        <w:rPr>
          <w:b/>
          <w:i/>
        </w:rPr>
        <w:t>Are invasive plants dominating the understory or edge?</w:t>
      </w:r>
    </w:p>
    <w:p>
      <w:pPr>
        <w:pStyle w:val="ListBullet"/>
      </w:pPr>
      <w:r>
        <w:rPr>
          <w:b/>
          <w:i/>
        </w:rPr>
        <w:t>Are there flowers from early spring through late fall?</w:t>
      </w:r>
    </w:p>
    <w:p>
      <w:pPr>
        <w:pStyle w:val="ListBullet"/>
      </w:pPr>
      <w:r>
        <w:rPr>
          <w:b/>
          <w:i/>
        </w:rPr>
        <w:t>Are milkweeds and host plants present—not merely nectar flowers?</w:t>
      </w:r>
    </w:p>
    <w:p>
      <w:pPr>
        <w:pStyle w:val="ListBullet"/>
      </w:pPr>
      <w:r>
        <w:rPr>
          <w:b/>
          <w:i/>
        </w:rPr>
        <w:t>Are roads, fencing, glass, mowing, lighting, or pets creating wildlife hazards?</w:t>
      </w:r>
    </w:p>
    <w:p>
      <w:pPr>
        <w:pStyle w:val="ListBullet"/>
      </w:pPr>
      <w:r>
        <w:rPr>
          <w:b/>
          <w:i/>
        </w:rPr>
        <w:t>Can leaf litter, woody debris, standing dead wood, or unmown refuge be retained safely?</w:t>
      </w:r>
    </w:p>
    <w:p>
      <w:pPr>
        <w:pStyle w:val="ListBullet"/>
      </w:pPr>
      <w:r>
        <w:rPr>
          <w:b/>
          <w:i/>
        </w:rPr>
        <w:t>What one change would improve both habitat and stormwater function?</w:t>
      </w:r>
    </w:p>
    <w:p>
      <w:pPr>
        <w:pStyle w:val="Heading2"/>
      </w:pPr>
      <w:r>
        <w:t>8. Four useful observation areas</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sz w:val="22"/>
              </w:rPr>
              <w:t>Area</w:t>
            </w:r>
          </w:p>
        </w:tc>
        <w:tc>
          <w:tcPr>
            <w:tcW w:type="dxa" w:w="3389"/>
            <w:vAlign w:val="center"/>
            <w:shd w:fill="E9EDF0"/>
          </w:tcPr>
          <w:p>
            <w:pPr>
              <w:spacing w:after="60"/>
            </w:pPr>
            <w:r>
              <w:rPr>
                <w:b/>
                <w:i/>
                <w:sz w:val="22"/>
              </w:rPr>
              <w:t>Habitat contrast</w:t>
            </w:r>
          </w:p>
        </w:tc>
        <w:tc>
          <w:tcPr>
            <w:tcW w:type="dxa" w:w="3389"/>
            <w:vAlign w:val="center"/>
            <w:shd w:fill="E9EDF0"/>
          </w:tcPr>
          <w:p>
            <w:pPr>
              <w:spacing w:after="60"/>
            </w:pPr>
            <w:r>
              <w:rPr>
                <w:b/>
                <w:i/>
                <w:sz w:val="22"/>
              </w:rPr>
              <w:t>What to compare or record</w:t>
            </w:r>
          </w:p>
        </w:tc>
      </w:tr>
      <w:tr>
        <w:trPr>
          <w:cantSplit/>
        </w:trPr>
        <w:tc>
          <w:tcPr>
            <w:tcW w:type="dxa" w:w="3389"/>
            <w:vAlign w:val="center"/>
            <w:shd w:fill="FFFFFF"/>
          </w:tcPr>
          <w:p>
            <w:pPr>
              <w:spacing w:after="60"/>
            </w:pPr>
            <w:r>
              <w:rPr>
                <w:b/>
                <w:i/>
                <w:sz w:val="22"/>
              </w:rPr>
              <w:t>Celery Bog Nature Area</w:t>
            </w:r>
          </w:p>
        </w:tc>
        <w:tc>
          <w:tcPr>
            <w:tcW w:type="dxa" w:w="3389"/>
            <w:vAlign w:val="center"/>
            <w:shd w:fill="FFFFFF"/>
          </w:tcPr>
          <w:p>
            <w:pPr>
              <w:spacing w:after="60"/>
            </w:pPr>
            <w:r>
              <w:rPr>
                <w:b w:val="0"/>
                <w:i/>
                <w:sz w:val="22"/>
              </w:rPr>
              <w:t>Wetland basins, wet meadow, woods, open water, and migration stopover</w:t>
            </w:r>
          </w:p>
        </w:tc>
        <w:tc>
          <w:tcPr>
            <w:tcW w:type="dxa" w:w="3389"/>
            <w:vAlign w:val="center"/>
            <w:shd w:fill="FFFFFF"/>
          </w:tcPr>
          <w:p>
            <w:pPr>
              <w:spacing w:after="60"/>
            </w:pPr>
            <w:r>
              <w:rPr>
                <w:b w:val="0"/>
                <w:i/>
                <w:sz w:val="22"/>
              </w:rPr>
              <w:t>Bird migration, water levels, aquatic vegetation, insects, turtles, edge effects</w:t>
            </w:r>
          </w:p>
        </w:tc>
      </w:tr>
      <w:tr>
        <w:trPr>
          <w:cantSplit/>
        </w:trPr>
        <w:tc>
          <w:tcPr>
            <w:tcW w:type="dxa" w:w="3389"/>
            <w:vAlign w:val="center"/>
            <w:shd w:fill="FFFFFF"/>
          </w:tcPr>
          <w:p>
            <w:pPr>
              <w:spacing w:after="60"/>
            </w:pPr>
            <w:r>
              <w:rPr>
                <w:b/>
                <w:i/>
                <w:sz w:val="22"/>
              </w:rPr>
              <w:t>Happy Hollow Park</w:t>
            </w:r>
          </w:p>
        </w:tc>
        <w:tc>
          <w:tcPr>
            <w:tcW w:type="dxa" w:w="3389"/>
            <w:vAlign w:val="center"/>
            <w:shd w:fill="FFFFFF"/>
          </w:tcPr>
          <w:p>
            <w:pPr>
              <w:spacing w:after="60"/>
            </w:pPr>
            <w:r>
              <w:rPr>
                <w:b w:val="0"/>
                <w:i/>
                <w:sz w:val="22"/>
              </w:rPr>
              <w:t>Wooded ravine inside the urban fabric</w:t>
            </w:r>
          </w:p>
        </w:tc>
        <w:tc>
          <w:tcPr>
            <w:tcW w:type="dxa" w:w="3389"/>
            <w:vAlign w:val="center"/>
            <w:shd w:fill="FFFFFF"/>
          </w:tcPr>
          <w:p>
            <w:pPr>
              <w:spacing w:after="60"/>
            </w:pPr>
            <w:r>
              <w:rPr>
                <w:b w:val="0"/>
                <w:i/>
                <w:sz w:val="22"/>
              </w:rPr>
              <w:t>Slope forest, spring wildflowers, fungi, songbirds, invasive shrubs, stormwater erosion</w:t>
            </w:r>
          </w:p>
        </w:tc>
      </w:tr>
      <w:tr>
        <w:trPr>
          <w:cantSplit/>
        </w:trPr>
        <w:tc>
          <w:tcPr>
            <w:tcW w:type="dxa" w:w="3389"/>
            <w:vAlign w:val="center"/>
            <w:shd w:fill="FFFFFF"/>
          </w:tcPr>
          <w:p>
            <w:pPr>
              <w:spacing w:after="60"/>
            </w:pPr>
            <w:r>
              <w:rPr>
                <w:b/>
                <w:i/>
                <w:sz w:val="22"/>
              </w:rPr>
              <w:t>Wabash River / Tapawingo corridor</w:t>
            </w:r>
          </w:p>
        </w:tc>
        <w:tc>
          <w:tcPr>
            <w:tcW w:type="dxa" w:w="3389"/>
            <w:vAlign w:val="center"/>
            <w:shd w:fill="FFFFFF"/>
          </w:tcPr>
          <w:p>
            <w:pPr>
              <w:spacing w:after="60"/>
            </w:pPr>
            <w:r>
              <w:rPr>
                <w:b w:val="0"/>
                <w:i/>
                <w:sz w:val="22"/>
              </w:rPr>
              <w:t>Riverbank, floodplain, trail, bridges, lawn, and dense urban edge</w:t>
            </w:r>
          </w:p>
        </w:tc>
        <w:tc>
          <w:tcPr>
            <w:tcW w:type="dxa" w:w="3389"/>
            <w:vAlign w:val="center"/>
            <w:shd w:fill="FFFFFF"/>
          </w:tcPr>
          <w:p>
            <w:pPr>
              <w:spacing w:after="60"/>
            </w:pPr>
            <w:r>
              <w:rPr>
                <w:b w:val="0"/>
                <w:i/>
                <w:sz w:val="22"/>
              </w:rPr>
              <w:t>Flood stages, bank vegetation, riparian movement, human disturbance, heat and runoff</w:t>
            </w:r>
          </w:p>
        </w:tc>
      </w:tr>
      <w:tr>
        <w:trPr>
          <w:cantSplit/>
        </w:trPr>
        <w:tc>
          <w:tcPr>
            <w:tcW w:type="dxa" w:w="3389"/>
            <w:vAlign w:val="center"/>
            <w:shd w:fill="FFFFFF"/>
          </w:tcPr>
          <w:p>
            <w:pPr>
              <w:spacing w:after="60"/>
            </w:pPr>
            <w:r>
              <w:rPr>
                <w:b/>
                <w:i/>
                <w:sz w:val="22"/>
              </w:rPr>
              <w:t>Purdue campus and nearby neighborhoods</w:t>
            </w:r>
          </w:p>
        </w:tc>
        <w:tc>
          <w:tcPr>
            <w:tcW w:type="dxa" w:w="3389"/>
            <w:vAlign w:val="center"/>
            <w:shd w:fill="FFFFFF"/>
          </w:tcPr>
          <w:p>
            <w:pPr>
              <w:spacing w:after="60"/>
            </w:pPr>
            <w:r>
              <w:rPr>
                <w:b w:val="0"/>
                <w:i/>
                <w:sz w:val="22"/>
              </w:rPr>
              <w:t>Mature planted trees, lawns, gardens, buildings, streets, and stormwater infrastructure</w:t>
            </w:r>
          </w:p>
        </w:tc>
        <w:tc>
          <w:tcPr>
            <w:tcW w:type="dxa" w:w="3389"/>
            <w:vAlign w:val="center"/>
            <w:shd w:fill="FFFFFF"/>
          </w:tcPr>
          <w:p>
            <w:pPr>
              <w:spacing w:after="60"/>
            </w:pPr>
            <w:r>
              <w:rPr>
                <w:b w:val="0"/>
                <w:i/>
                <w:sz w:val="22"/>
              </w:rPr>
              <w:t>Urban tree canopy, pollinators, bird use, night lighting, impervious surfaces, management intensity</w:t>
            </w:r>
          </w:p>
        </w:tc>
      </w:tr>
    </w:tbl>
    <w:p>
      <w:pPr>
        <w:spacing w:after="20"/>
      </w:pPr>
    </w:p>
    <w:p>
      <w:r>
        <w:rPr>
          <w:b/>
          <w:i/>
        </w:rPr>
        <w:t>Observe from established public areas and trails; do not enter closed wetlands, disturb nests, handle wildlife, or move turtles except from immediate road danger in the direction they were already traveling.</w:t>
      </w:r>
    </w:p>
    <w:p>
      <w:pPr>
        <w:pStyle w:val="Heading2"/>
      </w:pPr>
      <w:r>
        <w:t>Sources and further reading</w:t>
      </w:r>
    </w:p>
    <w:p>
      <w:pPr>
        <w:pStyle w:val="ListBullet"/>
      </w:pPr>
      <w:hyperlink r:id="rId12">
        <w:r>
          <w:rPr>
            <w:color w:val="245B43"/>
            <w:u w:val="single"/>
          </w:rPr>
          <w:t>City of West Lafayette — Lilly Nature Center &amp; Celery Bog Nature Area</w:t>
        </w:r>
      </w:hyperlink>
    </w:p>
    <w:p>
      <w:pPr>
        <w:pStyle w:val="ListBullet"/>
      </w:pPr>
      <w:hyperlink r:id="rId13">
        <w:r>
          <w:rPr>
            <w:color w:val="245B43"/>
            <w:u w:val="single"/>
          </w:rPr>
          <w:t>Purdue University — Celery Bog project and watershed map</w:t>
        </w:r>
      </w:hyperlink>
    </w:p>
    <w:p>
      <w:pPr>
        <w:pStyle w:val="ListBullet"/>
      </w:pPr>
      <w:hyperlink r:id="rId14">
        <w:r>
          <w:rPr>
            <w:color w:val="245B43"/>
            <w:u w:val="single"/>
          </w:rPr>
          <w:t>Purdue Extension — Tippecanoe County pond and habitat contacts</w:t>
        </w:r>
      </w:hyperlink>
    </w:p>
    <w:p>
      <w:pPr>
        <w:pStyle w:val="ListBullet"/>
      </w:pPr>
      <w:hyperlink r:id="rId15">
        <w:r>
          <w:rPr>
            <w:color w:val="245B43"/>
            <w:u w:val="single"/>
          </w:rPr>
          <w:t>NOAA/NCEI — 1991–2020 U.S. Climate Normals</w:t>
        </w:r>
      </w:hyperlink>
    </w:p>
    <w:p>
      <w:pPr>
        <w:pStyle w:val="ListBullet"/>
      </w:pPr>
      <w:hyperlink r:id="rId16">
        <w:r>
          <w:rPr>
            <w:color w:val="245B43"/>
            <w:u w:val="single"/>
          </w:rPr>
          <w:t>National Weather Service Indianapolis — 1991–2020 normals notes</w:t>
        </w:r>
      </w:hyperlink>
    </w:p>
    <w:p>
      <w:pPr>
        <w:pStyle w:val="ListBullet"/>
      </w:pPr>
      <w:hyperlink r:id="rId17">
        <w:r>
          <w:rPr>
            <w:color w:val="245B43"/>
            <w:u w:val="single"/>
          </w:rPr>
          <w:t>Indiana Birding Trail — Celery Bog birding profile</w:t>
        </w:r>
      </w:hyperlink>
    </w:p>
    <w:p>
      <w:r>
        <w:rPr>
          <w:b w:val="0"/>
          <w:i w:val="0"/>
        </w:rPr>
        <w:t xml:space="preserve">Added September 22, 2026 · </w:t>
      </w:r>
      <w:hyperlink r:id="rId18">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9">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environments/west-lafayette-ecosystem/" TargetMode="External"/><Relationship Id="rId12" Type="http://schemas.openxmlformats.org/officeDocument/2006/relationships/hyperlink" Target="https://www.westlafayette.in.gov/government/parks-and-recreation/places/lilly-nature-center" TargetMode="External"/><Relationship Id="rId13" Type="http://schemas.openxmlformats.org/officeDocument/2006/relationships/hyperlink" Target="https://www.eaps.purdue.edu/geomorph/research/celerybog/LillyCenter.html" TargetMode="External"/><Relationship Id="rId14" Type="http://schemas.openxmlformats.org/officeDocument/2006/relationships/hyperlink" Target="https://extension.purdue.edu/pondwildlife/county-resources/tippecanoe-county.html" TargetMode="External"/><Relationship Id="rId15" Type="http://schemas.openxmlformats.org/officeDocument/2006/relationships/hyperlink" Target="https://www.ncei.noaa.gov/products/land-based-station/us-climate-normals" TargetMode="External"/><Relationship Id="rId16" Type="http://schemas.openxmlformats.org/officeDocument/2006/relationships/hyperlink" Target="https://www.weather.gov/ind/newnormals2021" TargetMode="External"/><Relationship Id="rId17" Type="http://schemas.openxmlformats.org/officeDocument/2006/relationships/hyperlink" Target="https://indianabirdingtrail.com/pages/celery-bog-nature-area-birding-opportunities" TargetMode="External"/><Relationship Id="rId18" Type="http://schemas.openxmlformats.org/officeDocument/2006/relationships/hyperlink" Target="https://planteducationproject.com/information-sheets/master-index/" TargetMode="External"/><Relationship Id="rId19"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environments west lafayette ecosystem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