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West Central Indiana</w:t>
      </w:r>
    </w:p>
    <w:p>
      <w:pPr>
        <w:spacing w:after="320"/>
      </w:pPr>
      <w:r>
        <w:t>Combined Information Sheets</w:t>
      </w:r>
    </w:p>
    <w:p>
      <w:pPr>
        <w:pStyle w:val="Heading1"/>
      </w:pPr>
      <w:r>
        <w:t>West Central Indiana</w:t>
      </w:r>
    </w:p>
    <w:p>
      <w:r>
        <w:rPr>
          <w:b/>
        </w:rPr>
        <w:t xml:space="preserve">Online Information Sheet: </w:t>
      </w:r>
      <w:hyperlink r:id="rId11">
        <w:r>
          <w:rPr>
            <w:color w:val="245B43"/>
            <w:u w:val="single"/>
          </w:rPr>
          <w:t>planteducationproject.com/environments/west-central-indiana/</w:t>
        </w:r>
      </w:hyperlink>
    </w:p>
    <w:p>
      <w:r>
        <w:rPr>
          <w:b w:val="0"/>
          <w:i w:val="0"/>
        </w:rPr>
        <w:t>🌿 Environment Information Sheet</w:t>
      </w:r>
    </w:p>
    <w:p>
      <w:r>
        <w:rPr>
          <w:b w:val="0"/>
          <w:i/>
        </w:rPr>
        <w:t>“To understand the care of a plant, understand its native climate and environment.”</w:t>
      </w:r>
    </w:p>
    <w:p>
      <w:r>
        <w:rPr>
          <w:b/>
          <w:i w:val="0"/>
        </w:rPr>
        <w:t xml:space="preserve">Key idea. </w:t>
      </w:r>
      <w:r>
        <w:t>West-central Indiana is a glaciated, humid continental landscape organized around broad till plains, the Wabash River system, rich prairie–forest transition soils, and a climate with warm humid summers, cold winters, year-round precipitation, thunderstorms, floods, droughts, and freeze–thaw cycles.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Region</w:t>
            </w:r>
          </w:p>
        </w:tc>
        <w:tc>
          <w:tcPr>
            <w:tcW w:type="dxa" w:w="5083"/>
            <w:vAlign w:val="center"/>
            <w:shd w:fill="E9EDF0"/>
          </w:tcPr>
          <w:p>
            <w:pPr>
              <w:spacing w:after="60"/>
            </w:pPr>
            <w:r>
              <w:rPr>
                <w:b/>
                <w:i w:val="0"/>
                <w:sz w:val="22"/>
              </w:rPr>
              <w:t>West-central Indiana; Lafayette–West Lafayette and the middle Wabash valley are useful reference points.</w:t>
            </w:r>
          </w:p>
        </w:tc>
      </w:tr>
      <w:tr>
        <w:trPr>
          <w:cantSplit/>
        </w:trPr>
        <w:tc>
          <w:tcPr>
            <w:tcW w:type="dxa" w:w="5083"/>
            <w:vAlign w:val="center"/>
            <w:shd w:fill="FFFFFF"/>
          </w:tcPr>
          <w:p>
            <w:pPr>
              <w:spacing w:after="60"/>
            </w:pPr>
            <w:r>
              <w:rPr>
                <w:b/>
                <w:i w:val="0"/>
                <w:sz w:val="22"/>
              </w:rPr>
              <w:t>Broad setting</w:t>
            </w:r>
          </w:p>
        </w:tc>
        <w:tc>
          <w:tcPr>
            <w:tcW w:type="dxa" w:w="5083"/>
            <w:vAlign w:val="center"/>
            <w:shd w:fill="FFFFFF"/>
          </w:tcPr>
          <w:p>
            <w:pPr>
              <w:spacing w:after="60"/>
            </w:pPr>
            <w:r>
              <w:rPr>
                <w:b w:val="0"/>
                <w:i w:val="0"/>
                <w:sz w:val="22"/>
              </w:rPr>
              <w:t>Interior lowland of the Midwest; mostly low-relief glacial terrain dissected by the Wabash and tributaries.</w:t>
            </w:r>
          </w:p>
        </w:tc>
      </w:tr>
      <w:tr>
        <w:trPr>
          <w:cantSplit/>
        </w:trPr>
        <w:tc>
          <w:tcPr>
            <w:tcW w:type="dxa" w:w="5083"/>
            <w:vAlign w:val="center"/>
            <w:shd w:fill="FFFFFF"/>
          </w:tcPr>
          <w:p>
            <w:pPr>
              <w:spacing w:after="60"/>
            </w:pPr>
            <w:r>
              <w:rPr>
                <w:b/>
                <w:i w:val="0"/>
                <w:sz w:val="22"/>
              </w:rPr>
              <w:t>EPA context</w:t>
            </w:r>
          </w:p>
        </w:tc>
        <w:tc>
          <w:tcPr>
            <w:tcW w:type="dxa" w:w="5083"/>
            <w:vAlign w:val="center"/>
            <w:shd w:fill="FFFFFF"/>
          </w:tcPr>
          <w:p>
            <w:pPr>
              <w:spacing w:after="60"/>
            </w:pPr>
            <w:r>
              <w:rPr>
                <w:b w:val="0"/>
                <w:i w:val="0"/>
                <w:sz w:val="22"/>
              </w:rPr>
              <w:t>Primarily Corn Belt ecoregional landscapes; local boundaries shift across west-central Indiana, so a site should be checked on the EPA Level III/IV map.</w:t>
            </w:r>
          </w:p>
        </w:tc>
      </w:tr>
      <w:tr>
        <w:trPr>
          <w:cantSplit/>
        </w:trPr>
        <w:tc>
          <w:tcPr>
            <w:tcW w:type="dxa" w:w="5083"/>
            <w:vAlign w:val="center"/>
            <w:shd w:fill="FFFFFF"/>
          </w:tcPr>
          <w:p>
            <w:pPr>
              <w:spacing w:after="60"/>
            </w:pPr>
            <w:r>
              <w:rPr>
                <w:b/>
                <w:i w:val="0"/>
                <w:sz w:val="22"/>
              </w:rPr>
              <w:t>Climate</w:t>
            </w:r>
          </w:p>
        </w:tc>
        <w:tc>
          <w:tcPr>
            <w:tcW w:type="dxa" w:w="5083"/>
            <w:vAlign w:val="center"/>
            <w:shd w:fill="FFFFFF"/>
          </w:tcPr>
          <w:p>
            <w:pPr>
              <w:spacing w:after="60"/>
            </w:pPr>
            <w:r>
              <w:rPr>
                <w:b w:val="0"/>
                <w:i w:val="0"/>
                <w:sz w:val="22"/>
              </w:rPr>
              <w:t>Humid continental: four distinct seasons, warm to hot humid summers, cold winters, and rapid weather changes.</w:t>
            </w:r>
          </w:p>
        </w:tc>
      </w:tr>
      <w:tr>
        <w:trPr>
          <w:cantSplit/>
        </w:trPr>
        <w:tc>
          <w:tcPr>
            <w:tcW w:type="dxa" w:w="5083"/>
            <w:vAlign w:val="center"/>
            <w:shd w:fill="FFFFFF"/>
          </w:tcPr>
          <w:p>
            <w:pPr>
              <w:spacing w:after="60"/>
            </w:pPr>
            <w:r>
              <w:rPr>
                <w:b/>
                <w:i w:val="0"/>
                <w:sz w:val="22"/>
              </w:rPr>
              <w:t>Lafayette climate normal</w:t>
            </w:r>
          </w:p>
        </w:tc>
        <w:tc>
          <w:tcPr>
            <w:tcW w:type="dxa" w:w="5083"/>
            <w:vAlign w:val="center"/>
            <w:shd w:fill="FFFFFF"/>
          </w:tcPr>
          <w:p>
            <w:pPr>
              <w:spacing w:after="60"/>
            </w:pPr>
            <w:r>
              <w:rPr>
                <w:b w:val="0"/>
                <w:i w:val="0"/>
                <w:sz w:val="22"/>
              </w:rPr>
              <w:t>1991–2020 mean annual temperature about 51.3°F; normal average maximum 61.1°F and minimum 41.6°F.</w:t>
            </w:r>
          </w:p>
        </w:tc>
      </w:tr>
      <w:tr>
        <w:trPr>
          <w:cantSplit/>
        </w:trPr>
        <w:tc>
          <w:tcPr>
            <w:tcW w:type="dxa" w:w="5083"/>
            <w:vAlign w:val="center"/>
            <w:shd w:fill="FFFFFF"/>
          </w:tcPr>
          <w:p>
            <w:pPr>
              <w:spacing w:after="60"/>
            </w:pPr>
            <w:r>
              <w:rPr>
                <w:b/>
                <w:i w:val="0"/>
                <w:sz w:val="22"/>
              </w:rPr>
              <w:t>Precipitation</w:t>
            </w:r>
          </w:p>
        </w:tc>
        <w:tc>
          <w:tcPr>
            <w:tcW w:type="dxa" w:w="5083"/>
            <w:vAlign w:val="center"/>
            <w:shd w:fill="FFFFFF"/>
          </w:tcPr>
          <w:p>
            <w:pPr>
              <w:spacing w:after="60"/>
            </w:pPr>
            <w:r>
              <w:rPr>
                <w:b w:val="0"/>
                <w:i w:val="0"/>
                <w:sz w:val="22"/>
              </w:rPr>
              <w:t>Central Indiana is roughly a 35–40+ in/year precipitation environment; rainfall is distributed through the year but varies strongly from year to year.</w:t>
            </w:r>
          </w:p>
        </w:tc>
      </w:tr>
      <w:tr>
        <w:trPr>
          <w:cantSplit/>
        </w:trPr>
        <w:tc>
          <w:tcPr>
            <w:tcW w:type="dxa" w:w="5083"/>
            <w:vAlign w:val="center"/>
            <w:shd w:fill="FFFFFF"/>
          </w:tcPr>
          <w:p>
            <w:pPr>
              <w:spacing w:after="60"/>
            </w:pPr>
            <w:r>
              <w:rPr>
                <w:b/>
                <w:i w:val="0"/>
                <w:sz w:val="22"/>
              </w:rPr>
              <w:t>Dominant modern land use</w:t>
            </w:r>
          </w:p>
        </w:tc>
        <w:tc>
          <w:tcPr>
            <w:tcW w:type="dxa" w:w="5083"/>
            <w:vAlign w:val="center"/>
            <w:shd w:fill="FFFFFF"/>
          </w:tcPr>
          <w:p>
            <w:pPr>
              <w:spacing w:after="60"/>
            </w:pPr>
            <w:r>
              <w:rPr>
                <w:b w:val="0"/>
                <w:i w:val="0"/>
                <w:sz w:val="22"/>
              </w:rPr>
              <w:t>Row-crop agriculture—especially corn and soybean—plus towns, roads, woodland remnants, riparian corridors, wetlands, and restored prairie.</w:t>
            </w:r>
          </w:p>
        </w:tc>
      </w:tr>
      <w:tr>
        <w:trPr>
          <w:cantSplit/>
        </w:trPr>
        <w:tc>
          <w:tcPr>
            <w:tcW w:type="dxa" w:w="5083"/>
            <w:vAlign w:val="center"/>
            <w:shd w:fill="FFFFFF"/>
          </w:tcPr>
          <w:p>
            <w:pPr>
              <w:spacing w:after="60"/>
            </w:pPr>
            <w:r>
              <w:rPr>
                <w:b/>
                <w:i w:val="0"/>
                <w:sz w:val="22"/>
              </w:rPr>
              <w:t>Historic vegetation</w:t>
            </w:r>
          </w:p>
        </w:tc>
        <w:tc>
          <w:tcPr>
            <w:tcW w:type="dxa" w:w="5083"/>
            <w:vAlign w:val="center"/>
            <w:shd w:fill="FFFFFF"/>
          </w:tcPr>
          <w:p>
            <w:pPr>
              <w:spacing w:after="60"/>
            </w:pPr>
            <w:r>
              <w:rPr>
                <w:b w:val="0"/>
                <w:i w:val="0"/>
                <w:sz w:val="22"/>
              </w:rPr>
              <w:t>A mosaic of eastern deciduous forest, oak openings/savanna, wetland, and tallgrass prairie elements.</w:t>
            </w:r>
          </w:p>
        </w:tc>
      </w:tr>
    </w:tbl>
    <w:p>
      <w:pPr>
        <w:spacing w:after="20"/>
      </w:pPr>
    </w:p>
    <w:p>
      <w:pPr>
        <w:pStyle w:val="Heading2"/>
      </w:pPr>
      <w:r>
        <w:t>Landscape and Geologic Setting</w:t>
      </w:r>
    </w:p>
    <w:p>
      <w:r>
        <w:rPr>
          <w:b w:val="0"/>
          <w:i w:val="0"/>
        </w:rPr>
        <w:t>Most of the region’s broad uplands were shaped by Pleistocene glaciers. Glacial till, outwash, lake deposits, and later wind-blown silt produced deep parent materials and relatively gentle relief.</w:t>
      </w:r>
    </w:p>
    <w:p>
      <w:r>
        <w:rPr>
          <w:b w:val="0"/>
          <w:i w:val="0"/>
        </w:rPr>
        <w:t>The Wabash River and its tributaries cut through this glacial landscape. Floodplains, terraces, oxbows, backwaters, ravines, and stream bluffs create much more habitat diversity than the flat agricultural uplands suggest.</w:t>
      </w:r>
    </w:p>
    <w:p>
      <w:r>
        <w:rPr>
          <w:b w:val="0"/>
          <w:i w:val="0"/>
        </w:rPr>
        <w:t>Farther southwest, places such as Turkey Run expose older sandstone beneath or beyond the younger glacial mantle. Deep ravines, Sugar Creek, shaded cliffs, and old forest create cool, moist microclimates within the broader regional climate.</w:t>
      </w:r>
    </w:p>
    <w:p>
      <w:pPr>
        <w:pStyle w:val="Heading2"/>
      </w:pPr>
      <w:r>
        <w:t>Climate and Seasonal Rhythm</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Season</w:t>
            </w:r>
          </w:p>
        </w:tc>
        <w:tc>
          <w:tcPr>
            <w:tcW w:type="dxa" w:w="5083"/>
            <w:vAlign w:val="center"/>
            <w:shd w:fill="E9EDF0"/>
          </w:tcPr>
          <w:p>
            <w:pPr>
              <w:spacing w:after="60"/>
            </w:pPr>
            <w:r>
              <w:rPr>
                <w:b/>
                <w:i w:val="0"/>
                <w:sz w:val="22"/>
              </w:rPr>
              <w:t>Environmental pattern</w:t>
            </w:r>
          </w:p>
        </w:tc>
      </w:tr>
      <w:tr>
        <w:trPr>
          <w:cantSplit/>
        </w:trPr>
        <w:tc>
          <w:tcPr>
            <w:tcW w:type="dxa" w:w="5083"/>
            <w:vAlign w:val="center"/>
            <w:shd w:fill="FFFFFF"/>
          </w:tcPr>
          <w:p>
            <w:pPr>
              <w:spacing w:after="60"/>
            </w:pPr>
            <w:r>
              <w:rPr>
                <w:b/>
                <w:i w:val="0"/>
                <w:sz w:val="22"/>
              </w:rPr>
              <w:t>Winter</w:t>
            </w:r>
          </w:p>
        </w:tc>
        <w:tc>
          <w:tcPr>
            <w:tcW w:type="dxa" w:w="5083"/>
            <w:vAlign w:val="center"/>
            <w:shd w:fill="FFFFFF"/>
          </w:tcPr>
          <w:p>
            <w:pPr>
              <w:spacing w:after="60"/>
            </w:pPr>
            <w:r>
              <w:rPr>
                <w:b w:val="0"/>
                <w:i w:val="0"/>
                <w:sz w:val="22"/>
              </w:rPr>
              <w:t>Frequent freezing and thawing; snow and ice are normal but intermittent. Dormancy, frost heaving, road salt, and winter desiccation matter.</w:t>
            </w:r>
          </w:p>
        </w:tc>
      </w:tr>
      <w:tr>
        <w:trPr>
          <w:cantSplit/>
        </w:trPr>
        <w:tc>
          <w:tcPr>
            <w:tcW w:type="dxa" w:w="5083"/>
            <w:vAlign w:val="center"/>
            <w:shd w:fill="FFFFFF"/>
          </w:tcPr>
          <w:p>
            <w:pPr>
              <w:spacing w:after="60"/>
            </w:pPr>
            <w:r>
              <w:rPr>
                <w:b/>
                <w:i w:val="0"/>
                <w:sz w:val="22"/>
              </w:rPr>
              <w:t>Spring</w:t>
            </w:r>
          </w:p>
        </w:tc>
        <w:tc>
          <w:tcPr>
            <w:tcW w:type="dxa" w:w="5083"/>
            <w:vAlign w:val="center"/>
            <w:shd w:fill="FFFFFF"/>
          </w:tcPr>
          <w:p>
            <w:pPr>
              <w:spacing w:after="60"/>
            </w:pPr>
            <w:r>
              <w:rPr>
                <w:b w:val="0"/>
                <w:i w:val="0"/>
                <w:sz w:val="22"/>
              </w:rPr>
              <w:t>Rapid warming, saturated soils, flooding, thunderstorms, and late frosts. Woodland wildflowers exploit high light before tree canopy closure.</w:t>
            </w:r>
          </w:p>
        </w:tc>
      </w:tr>
      <w:tr>
        <w:trPr>
          <w:cantSplit/>
        </w:trPr>
        <w:tc>
          <w:tcPr>
            <w:tcW w:type="dxa" w:w="5083"/>
            <w:vAlign w:val="center"/>
            <w:shd w:fill="FFFFFF"/>
          </w:tcPr>
          <w:p>
            <w:pPr>
              <w:spacing w:after="60"/>
            </w:pPr>
            <w:r>
              <w:rPr>
                <w:b/>
                <w:i w:val="0"/>
                <w:sz w:val="22"/>
              </w:rPr>
              <w:t>Summer</w:t>
            </w:r>
          </w:p>
        </w:tc>
        <w:tc>
          <w:tcPr>
            <w:tcW w:type="dxa" w:w="5083"/>
            <w:vAlign w:val="center"/>
            <w:shd w:fill="FFFFFF"/>
          </w:tcPr>
          <w:p>
            <w:pPr>
              <w:spacing w:after="60"/>
            </w:pPr>
            <w:r>
              <w:rPr>
                <w:b w:val="0"/>
                <w:i w:val="0"/>
                <w:sz w:val="22"/>
              </w:rPr>
              <w:t>Warm to hot and humid. Convective thunderstorms supply much of the growing-season water, but multi-week dry spells can produce significant plant stress.</w:t>
            </w:r>
          </w:p>
        </w:tc>
      </w:tr>
      <w:tr>
        <w:trPr>
          <w:cantSplit/>
        </w:trPr>
        <w:tc>
          <w:tcPr>
            <w:tcW w:type="dxa" w:w="5083"/>
            <w:vAlign w:val="center"/>
            <w:shd w:fill="FFFFFF"/>
          </w:tcPr>
          <w:p>
            <w:pPr>
              <w:spacing w:after="60"/>
            </w:pPr>
            <w:r>
              <w:rPr>
                <w:b/>
                <w:i w:val="0"/>
                <w:sz w:val="22"/>
              </w:rPr>
              <w:t>Autumn</w:t>
            </w:r>
          </w:p>
        </w:tc>
        <w:tc>
          <w:tcPr>
            <w:tcW w:type="dxa" w:w="5083"/>
            <w:vAlign w:val="center"/>
            <w:shd w:fill="FFFFFF"/>
          </w:tcPr>
          <w:p>
            <w:pPr>
              <w:spacing w:after="60"/>
            </w:pPr>
            <w:r>
              <w:rPr>
                <w:b w:val="0"/>
                <w:i w:val="0"/>
                <w:sz w:val="22"/>
              </w:rPr>
              <w:t>Cooling nights, declining day length, leaf fall, seed dispersal, migration, and gradual soil-moisture recharge. First frost ends growth for many annuals.</w:t>
            </w:r>
          </w:p>
        </w:tc>
      </w:tr>
    </w:tbl>
    <w:p>
      <w:pPr>
        <w:spacing w:after="20"/>
      </w:pPr>
    </w:p>
    <w:p>
      <w:pPr>
        <w:pStyle w:val="Heading2"/>
      </w:pPr>
      <w:r>
        <w:t>Water, Soils, and Microclimates</w:t>
      </w:r>
    </w:p>
    <w:p>
      <w:r>
        <w:rPr>
          <w:b w:val="0"/>
          <w:i w:val="0"/>
        </w:rPr>
        <w:t>• Upland till soils: commonly deep and productive but may be naturally slow-draining; extensive agricultural drainage has altered hydrology.</w:t>
      </w:r>
    </w:p>
    <w:p>
      <w:r>
        <w:rPr>
          <w:b w:val="0"/>
          <w:i w:val="0"/>
        </w:rPr>
        <w:t>• Floodplains and terraces: younger alluvial soils, periodic flooding, sediment deposition, high groundwater influence, and strong disturbance.</w:t>
      </w:r>
    </w:p>
    <w:p>
      <w:r>
        <w:rPr>
          <w:b w:val="0"/>
          <w:i w:val="0"/>
        </w:rPr>
        <w:t>• Ravines and north-facing slopes: cooler, moister, and more shaded; they can preserve forest species that fare poorly on exposed uplands.</w:t>
      </w:r>
    </w:p>
    <w:p>
      <w:r>
        <w:rPr>
          <w:b w:val="0"/>
          <w:i w:val="0"/>
        </w:rPr>
        <w:t>• South- and west-facing slopes: warmer and drier, favoring drought-tolerant grasses, forbs, and oaks.</w:t>
      </w:r>
    </w:p>
    <w:p>
      <w:r>
        <w:rPr>
          <w:b w:val="0"/>
          <w:i w:val="0"/>
        </w:rPr>
        <w:t>• Urban sites: pavement, buildings, compacted soil, runoff, heat storage, artificial light, and salt create environmental conditions that can differ sharply from nearby natural areas.</w:t>
      </w:r>
    </w:p>
    <w:p>
      <w:pPr>
        <w:pStyle w:val="Heading2"/>
      </w:pPr>
      <w:r>
        <w:t>Characteristic Natural Communities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Community</w:t>
            </w:r>
          </w:p>
        </w:tc>
        <w:tc>
          <w:tcPr>
            <w:tcW w:type="dxa" w:w="5083"/>
            <w:vAlign w:val="center"/>
            <w:shd w:fill="E9EDF0"/>
          </w:tcPr>
          <w:p>
            <w:pPr>
              <w:spacing w:after="60"/>
            </w:pPr>
            <w:r>
              <w:rPr>
                <w:b/>
                <w:i w:val="0"/>
                <w:sz w:val="22"/>
              </w:rPr>
              <w:t>Typical pattern</w:t>
            </w:r>
          </w:p>
        </w:tc>
      </w:tr>
      <w:tr>
        <w:trPr>
          <w:cantSplit/>
        </w:trPr>
        <w:tc>
          <w:tcPr>
            <w:tcW w:type="dxa" w:w="5083"/>
            <w:vAlign w:val="center"/>
            <w:shd w:fill="FFFFFF"/>
          </w:tcPr>
          <w:p>
            <w:pPr>
              <w:spacing w:after="60"/>
            </w:pPr>
            <w:r>
              <w:rPr>
                <w:b/>
                <w:i w:val="0"/>
                <w:sz w:val="22"/>
              </w:rPr>
              <w:t>Mesic deciduous forest</w:t>
            </w:r>
          </w:p>
        </w:tc>
        <w:tc>
          <w:tcPr>
            <w:tcW w:type="dxa" w:w="5083"/>
            <w:vAlign w:val="center"/>
            <w:shd w:fill="FFFFFF"/>
          </w:tcPr>
          <w:p>
            <w:pPr>
              <w:spacing w:after="60"/>
            </w:pPr>
            <w:r>
              <w:rPr>
                <w:b w:val="0"/>
                <w:i w:val="0"/>
                <w:sz w:val="22"/>
              </w:rPr>
              <w:t>Sugar maple, beech, tuliptree, basswood, hickories and other hardwoods on protected, reasonably moist sites.</w:t>
            </w:r>
          </w:p>
        </w:tc>
      </w:tr>
      <w:tr>
        <w:trPr>
          <w:cantSplit/>
        </w:trPr>
        <w:tc>
          <w:tcPr>
            <w:tcW w:type="dxa" w:w="5083"/>
            <w:vAlign w:val="center"/>
            <w:shd w:fill="FFFFFF"/>
          </w:tcPr>
          <w:p>
            <w:pPr>
              <w:spacing w:after="60"/>
            </w:pPr>
            <w:r>
              <w:rPr>
                <w:b/>
                <w:i w:val="0"/>
                <w:sz w:val="22"/>
              </w:rPr>
              <w:t>Oak–hickory woodland</w:t>
            </w:r>
          </w:p>
        </w:tc>
        <w:tc>
          <w:tcPr>
            <w:tcW w:type="dxa" w:w="5083"/>
            <w:vAlign w:val="center"/>
            <w:shd w:fill="FFFFFF"/>
          </w:tcPr>
          <w:p>
            <w:pPr>
              <w:spacing w:after="60"/>
            </w:pPr>
            <w:r>
              <w:rPr>
                <w:b w:val="0"/>
                <w:i w:val="0"/>
                <w:sz w:val="22"/>
              </w:rPr>
              <w:t>Oaks and hickories on somewhat drier uplands and slopes; fire historically helped maintain open structure in some landscapes.</w:t>
            </w:r>
          </w:p>
        </w:tc>
      </w:tr>
      <w:tr>
        <w:trPr>
          <w:cantSplit/>
        </w:trPr>
        <w:tc>
          <w:tcPr>
            <w:tcW w:type="dxa" w:w="5083"/>
            <w:vAlign w:val="center"/>
            <w:shd w:fill="FFFFFF"/>
          </w:tcPr>
          <w:p>
            <w:pPr>
              <w:spacing w:after="60"/>
            </w:pPr>
            <w:r>
              <w:rPr>
                <w:b/>
                <w:i w:val="0"/>
                <w:sz w:val="22"/>
              </w:rPr>
              <w:t>Tallgrass prairie / savanna elements</w:t>
            </w:r>
          </w:p>
        </w:tc>
        <w:tc>
          <w:tcPr>
            <w:tcW w:type="dxa" w:w="5083"/>
            <w:vAlign w:val="center"/>
            <w:shd w:fill="FFFFFF"/>
          </w:tcPr>
          <w:p>
            <w:pPr>
              <w:spacing w:after="60"/>
            </w:pPr>
            <w:r>
              <w:rPr>
                <w:b w:val="0"/>
                <w:i w:val="0"/>
                <w:sz w:val="22"/>
              </w:rPr>
              <w:t>Big bluestem, Indian grass, switchgrass and diverse forbs on open sunny sites; much original prairie has been converted to agriculture.</w:t>
            </w:r>
          </w:p>
        </w:tc>
      </w:tr>
      <w:tr>
        <w:trPr>
          <w:cantSplit/>
        </w:trPr>
        <w:tc>
          <w:tcPr>
            <w:tcW w:type="dxa" w:w="5083"/>
            <w:vAlign w:val="center"/>
            <w:shd w:fill="FFFFFF"/>
          </w:tcPr>
          <w:p>
            <w:pPr>
              <w:spacing w:after="60"/>
            </w:pPr>
            <w:r>
              <w:rPr>
                <w:b/>
                <w:i w:val="0"/>
                <w:sz w:val="22"/>
              </w:rPr>
              <w:t>Riparian forest</w:t>
            </w:r>
          </w:p>
        </w:tc>
        <w:tc>
          <w:tcPr>
            <w:tcW w:type="dxa" w:w="5083"/>
            <w:vAlign w:val="center"/>
            <w:shd w:fill="FFFFFF"/>
          </w:tcPr>
          <w:p>
            <w:pPr>
              <w:spacing w:after="60"/>
            </w:pPr>
            <w:r>
              <w:rPr>
                <w:b w:val="0"/>
                <w:i w:val="0"/>
                <w:sz w:val="22"/>
              </w:rPr>
              <w:t>Cottonwood, sycamore, silver maple, willow and associated shrubs along rivers and streams.</w:t>
            </w:r>
          </w:p>
        </w:tc>
      </w:tr>
      <w:tr>
        <w:trPr>
          <w:cantSplit/>
        </w:trPr>
        <w:tc>
          <w:tcPr>
            <w:tcW w:type="dxa" w:w="5083"/>
            <w:vAlign w:val="center"/>
            <w:shd w:fill="FFFFFF"/>
          </w:tcPr>
          <w:p>
            <w:pPr>
              <w:spacing w:after="60"/>
            </w:pPr>
            <w:r>
              <w:rPr>
                <w:b/>
                <w:i w:val="0"/>
                <w:sz w:val="22"/>
              </w:rPr>
              <w:t>Wetlands</w:t>
            </w:r>
          </w:p>
        </w:tc>
        <w:tc>
          <w:tcPr>
            <w:tcW w:type="dxa" w:w="5083"/>
            <w:vAlign w:val="center"/>
            <w:shd w:fill="FFFFFF"/>
          </w:tcPr>
          <w:p>
            <w:pPr>
              <w:spacing w:after="60"/>
            </w:pPr>
            <w:r>
              <w:rPr>
                <w:b w:val="0"/>
                <w:i w:val="0"/>
                <w:sz w:val="22"/>
              </w:rPr>
              <w:t>Marshes, wet meadows, seeps, floodplain wetlands and small depressional wetlands; hydrology is the controlling factor.</w:t>
            </w:r>
          </w:p>
        </w:tc>
      </w:tr>
    </w:tbl>
    <w:p>
      <w:pPr>
        <w:spacing w:after="20"/>
      </w:pPr>
    </w:p>
    <w:p>
      <w:pPr>
        <w:pStyle w:val="Heading2"/>
      </w:pPr>
      <w:r>
        <w:t>Ecological Processes</w:t>
      </w:r>
    </w:p>
    <w:p>
      <w:r>
        <w:rPr>
          <w:b w:val="0"/>
          <w:i w:val="0"/>
        </w:rPr>
        <w:t>• Flooding and channel movement continually reshape river corridors and redistribute sediment, nutrients, seeds, and woody debris.</w:t>
      </w:r>
    </w:p>
    <w:p>
      <w:r>
        <w:rPr>
          <w:b w:val="0"/>
          <w:i w:val="0"/>
        </w:rPr>
        <w:t>• Fire historically helped maintain prairie, savanna, and open oak systems; fire suppression favors woody encroachment.</w:t>
      </w:r>
    </w:p>
    <w:p>
      <w:r>
        <w:rPr>
          <w:b w:val="0"/>
          <w:i w:val="0"/>
        </w:rPr>
        <w:t>• Seasonal canopy closure creates a strong spring-light window in deciduous forests.</w:t>
      </w:r>
    </w:p>
    <w:p>
      <w:r>
        <w:rPr>
          <w:b w:val="0"/>
          <w:i w:val="0"/>
        </w:rPr>
        <w:t>• Freeze–thaw, drought, wind, tornadoes, thunderstorms, ice storms, and occasional extreme heat act as recurring disturbances.</w:t>
      </w:r>
    </w:p>
    <w:p>
      <w:r>
        <w:rPr>
          <w:b w:val="0"/>
          <w:i w:val="0"/>
        </w:rPr>
        <w:t>• Agriculture, drainage, roads, mowing, invasive species, urbanization, and fragmented habitat now strongly control ecological patterns.</w:t>
      </w:r>
    </w:p>
    <w:p>
      <w:pPr>
        <w:pStyle w:val="Heading2"/>
      </w:pPr>
      <w:r>
        <w:t>Plants: What This Environment Selects For</w:t>
      </w:r>
    </w:p>
    <w:p>
      <w:r>
        <w:rPr>
          <w:b w:val="0"/>
          <w:i w:val="0"/>
        </w:rPr>
        <w:t>Successful native plants must tolerate a broad annual temperature range rather than a narrow “average” climate. Many are adapted to winter dormancy, spring saturation, summer heat, irregular rainfall, competition from dense vegetation, and episodic disturbance. For horticulture, matching the plant to the microsite—sun, drainage, soil texture, flood exposure, and winter conditions—is usually more important than matching a regional average.</w:t>
      </w:r>
    </w:p>
    <w:p>
      <w:pPr>
        <w:pStyle w:val="Heading2"/>
      </w:pPr>
      <w:r>
        <w:t>Environmental Change and Management</w:t>
      </w:r>
    </w:p>
    <w:p>
      <w:r>
        <w:rPr>
          <w:b w:val="0"/>
          <w:i w:val="0"/>
        </w:rPr>
        <w:t>Major management issues include habitat fragmentation, altered drainage, nutrient and sediment runoff, loss of wetlands and prairie, invasive plants, urban heat, artificial light at night, stream modification, and a warming climate with heavier rainfall events and periodic drought stress. Restoration works best when it reconnects processes—not merely species lists: hydrology for wetlands, fire or mowing for prairie, canopy structure for woodland, and floodplain connectivity for rivers.</w:t>
      </w:r>
    </w:p>
    <w:p>
      <w:pPr>
        <w:pStyle w:val="Heading2"/>
      </w:pPr>
      <w:r>
        <w:t>Key Takeaway</w:t>
      </w:r>
    </w:p>
    <w:p>
      <w:r>
        <w:rPr>
          <w:b/>
          <w:i w:val="0"/>
        </w:rPr>
        <w:t xml:space="preserve">West-central Indiana is not simply “corn country.” </w:t>
      </w:r>
      <w:r>
        <w:t>Its ecological foundation is a glaciated prairie–forest landscape tied to the Wabash River. The region’s plants and animals respond to four-season climate, fertile soils, variable water, floodplain disturbance, and sharp local differences between exposed uplands, wooded ravines, wetlands, river corridors, farms, and cities.</w:t>
      </w:r>
    </w:p>
    <w:p>
      <w:r>
        <w:rPr>
          <w:b w:val="0"/>
          <w:i w:val="0"/>
        </w:rPr>
        <w:t>Use four open-license photographs in the Environment QS layout: (1) Wabash River at Lafayette–West Lafayette; (2) tallgrass prairie or prairie restoration at/near Prophetstown; (3) deciduous forest/ravine at Turkey Run State Park; (4) a second local habitat view such as Wabash floodplain, wetland, or agricultural till plain. Photo source pages are listed below so the final published copy can retain the required attribution and license.</w:t>
      </w:r>
    </w:p>
    <w:p>
      <w:r>
        <w:rPr>
          <w:b w:val="0"/>
          <w:i w:val="0"/>
        </w:rPr>
        <w:t>• U.S. EPA — Level III and IV Ecoregions of Indiana and Ohio; Indiana GIS/map downloads.</w:t>
      </w:r>
    </w:p>
    <w:p>
      <w:r>
        <w:rPr>
          <w:b w:val="0"/>
          <w:i w:val="0"/>
        </w:rPr>
        <w:t>• National Weather Service Indianapolis — Lafayette climate reports and 1991–2020 climate normals.</w:t>
      </w:r>
    </w:p>
    <w:p>
      <w:r>
        <w:rPr>
          <w:b w:val="0"/>
          <w:i w:val="0"/>
        </w:rPr>
        <w:t>• Purdue Extension / Indiana State Climate Office — Indiana growing-season climate and precipitation context.</w:t>
      </w:r>
    </w:p>
    <w:p>
      <w:r>
        <w:rPr>
          <w:b w:val="0"/>
          <w:i w:val="0"/>
        </w:rPr>
        <w:t>• Indiana Department of Natural Resources — Turkey Run State Park; sandstone ravines, aged forest, and Sugar Creek.</w:t>
      </w:r>
    </w:p>
    <w:p>
      <w:r>
        <w:rPr>
          <w:b w:val="0"/>
          <w:i w:val="0"/>
        </w:rPr>
        <w:t>• Wikimedia Commons — “Lafayette-West Lafayette Wabash River.jpg.”</w:t>
      </w:r>
    </w:p>
    <w:p>
      <w:r>
        <w:rPr>
          <w:b w:val="0"/>
          <w:i w:val="0"/>
        </w:rPr>
        <w:t>• Wikimedia Commons — Daniel Schwen, “Turkey Run SP, IN 1.jpg” and “Turkey Run SP, IN 2.jpg,” CC BY-SA 4.0.</w:t>
      </w:r>
    </w:p>
    <w:p>
      <w:pPr>
        <w:pStyle w:val="Heading2"/>
      </w:pPr>
      <w:r>
        <w:t>Related Information Sheets</w:t>
      </w:r>
    </w:p>
    <w:p>
      <w:r>
        <w:rPr>
          <w:b w:val="0"/>
          <w:i w:val="0"/>
        </w:rPr>
        <w:t>Climate — West-Central Indiana  •  Ecology — West-Central Indiana  •  West Lafayette EPA Ecoregions  •  Types of Forests  •  Prairie / Grassland Environments  •  Wetlands  •  River and Riparian Environments</w:t>
      </w:r>
    </w:p>
    <w:p>
      <w:r>
        <w:rPr>
          <w:b w:val="0"/>
          <w:i w:val="0"/>
        </w:rPr>
        <w:t>Educational reference. Local site conditions and exact ecoregion boundaries should be verified for field or restoration work.</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west-central-indiana/"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west central indiana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