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English Ivy</w:t>
      </w:r>
    </w:p>
    <w:p>
      <w:pPr>
        <w:spacing w:after="320"/>
      </w:pPr>
      <w:r>
        <w:t>Combined Information Sheets</w:t>
      </w:r>
    </w:p>
    <w:p>
      <w:pPr>
        <w:pStyle w:val="Heading1"/>
      </w:pPr>
      <w:r>
        <w:t>English Ivy</w:t>
      </w:r>
    </w:p>
    <w:p>
      <w:r>
        <w:rPr>
          <w:b/>
        </w:rPr>
        <w:t xml:space="preserve">Online Information Sheet: </w:t>
      </w:r>
      <w:hyperlink r:id="rId11">
        <w:r>
          <w:rPr>
            <w:color w:val="245B43"/>
            <w:u w:val="single"/>
          </w:rPr>
          <w:t>planteducationproject.com/english-ivy/</w:t>
        </w:r>
      </w:hyperlink>
    </w:p>
    <w:p>
      <w:r>
        <w:rPr>
          <w:b w:val="0"/>
          <w:i w:val="0"/>
        </w:rPr>
        <w:t>🌿 Plant Information Sheet</w:t>
      </w:r>
    </w:p>
    <w:p>
      <w:r>
        <w:rPr>
          <w:b/>
          <w:i/>
        </w:rPr>
        <w:t>Hedera helix  |  Common ivy  |  “Tropical ivy” (trade label)</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sz w:val="22"/>
              </w:rPr>
              <w:t xml:space="preserve">IDENTIFICATION  </w:t>
            </w:r>
            <w:r>
              <w:rPr>
                <w:b/>
                <w:i/>
                <w:sz w:val="22"/>
              </w:rPr>
              <w:t>English ivy (Hedera helix) has glossy juvenile leaves with three to five lobes, pale veins, trailing or climbing stems, and aerial rootlets. Green and white-variegated cultivars are common. “Tropical ivy” is a misleading retail label: the species is native to temperate Europe and western Asia.</w:t>
            </w:r>
          </w:p>
        </w:tc>
      </w:tr>
    </w:tbl>
    <w:p>
      <w:pPr>
        <w:spacing w:after="20"/>
      </w:pP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 The plant’s native range is outside Indiana.</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Invasive in parts of the United States, including North Carolina. Keep contained and prevent discarded stems from rooting outdoors.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Yes on mature, flowering outdoor plants; indoor juvenile vines rarely produce seed.</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 Leaves and berries are poisonous; sap can irritate skin. Keep away from children and pets.</w:t>
            </w:r>
          </w:p>
        </w:tc>
      </w:tr>
    </w:tbl>
    <w:p>
      <w:pPr>
        <w:spacing w:after="20"/>
      </w:pPr>
    </w:p>
    <w:p>
      <w:r>
        <w:rPr>
          <w:b w:val="0"/>
          <w:i/>
        </w:rPr>
        <w:t>To understand the care of a plant, understand its native climate and environment.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Requirement</w:t>
            </w:r>
          </w:p>
        </w:tc>
        <w:tc>
          <w:tcPr>
            <w:tcW w:type="dxa" w:w="5083"/>
            <w:vAlign w:val="center"/>
            <w:shd w:fill="E9EDF0"/>
          </w:tcPr>
          <w:p>
            <w:pPr>
              <w:spacing w:after="60"/>
            </w:pPr>
            <w:r>
              <w:rPr>
                <w:b/>
                <w:i/>
                <w:sz w:val="22"/>
              </w:rPr>
              <w:t>Best indoor practice</w:t>
            </w:r>
          </w:p>
        </w:tc>
      </w:tr>
      <w:tr>
        <w:trPr>
          <w:cantSplit/>
        </w:trPr>
        <w:tc>
          <w:tcPr>
            <w:tcW w:type="dxa" w:w="5083"/>
            <w:vAlign w:val="center"/>
            <w:shd w:fill="FFFFFF"/>
          </w:tcPr>
          <w:p>
            <w:pPr>
              <w:spacing w:after="60"/>
            </w:pPr>
            <w:r>
              <w:rPr>
                <w:b/>
                <w:i/>
                <w:sz w:val="22"/>
              </w:rPr>
              <w:t>Light</w:t>
            </w:r>
          </w:p>
        </w:tc>
        <w:tc>
          <w:tcPr>
            <w:tcW w:type="dxa" w:w="5083"/>
            <w:vAlign w:val="center"/>
            <w:shd w:fill="FFFFFF"/>
          </w:tcPr>
          <w:p>
            <w:pPr>
              <w:spacing w:after="60"/>
            </w:pPr>
            <w:r>
              <w:rPr>
                <w:b w:val="0"/>
                <w:i/>
                <w:sz w:val="22"/>
              </w:rPr>
              <w:t>Bright, indirect light; variegated forms need more light. Avoid hot midday sun through glass.</w:t>
            </w:r>
          </w:p>
        </w:tc>
      </w:tr>
      <w:tr>
        <w:trPr>
          <w:cantSplit/>
        </w:trPr>
        <w:tc>
          <w:tcPr>
            <w:tcW w:type="dxa" w:w="5083"/>
            <w:vAlign w:val="center"/>
            <w:shd w:fill="FFFFFF"/>
          </w:tcPr>
          <w:p>
            <w:pPr>
              <w:spacing w:after="60"/>
            </w:pPr>
            <w:r>
              <w:rPr>
                <w:b/>
                <w:i/>
                <w:sz w:val="22"/>
              </w:rPr>
              <w:t>Water</w:t>
            </w:r>
          </w:p>
        </w:tc>
        <w:tc>
          <w:tcPr>
            <w:tcW w:type="dxa" w:w="5083"/>
            <w:vAlign w:val="center"/>
            <w:shd w:fill="FFFFFF"/>
          </w:tcPr>
          <w:p>
            <w:pPr>
              <w:spacing w:after="60"/>
            </w:pPr>
            <w:r>
              <w:rPr>
                <w:b w:val="0"/>
                <w:i/>
                <w:sz w:val="22"/>
              </w:rPr>
              <w:t>Water thoroughly when the upper 1 in (2.5 cm) is dry; drain completely. Never leave the pot standing in water.</w:t>
            </w:r>
          </w:p>
        </w:tc>
      </w:tr>
      <w:tr>
        <w:trPr>
          <w:cantSplit/>
        </w:trPr>
        <w:tc>
          <w:tcPr>
            <w:tcW w:type="dxa" w:w="5083"/>
            <w:vAlign w:val="center"/>
            <w:shd w:fill="FFFFFF"/>
          </w:tcPr>
          <w:p>
            <w:pPr>
              <w:spacing w:after="60"/>
            </w:pPr>
            <w:r>
              <w:rPr>
                <w:b/>
                <w:i/>
                <w:sz w:val="22"/>
              </w:rPr>
              <w:t>Temperature</w:t>
            </w:r>
          </w:p>
        </w:tc>
        <w:tc>
          <w:tcPr>
            <w:tcW w:type="dxa" w:w="5083"/>
            <w:vAlign w:val="center"/>
            <w:shd w:fill="FFFFFF"/>
          </w:tcPr>
          <w:p>
            <w:pPr>
              <w:spacing w:after="60"/>
            </w:pPr>
            <w:r>
              <w:rPr>
                <w:b w:val="0"/>
                <w:i/>
                <w:sz w:val="22"/>
              </w:rPr>
              <w:t>50–70 °F (10–21 °C) is ideal; keep away from heaters. Cooler nights are beneficial.</w:t>
            </w:r>
          </w:p>
        </w:tc>
      </w:tr>
      <w:tr>
        <w:trPr>
          <w:cantSplit/>
        </w:trPr>
        <w:tc>
          <w:tcPr>
            <w:tcW w:type="dxa" w:w="5083"/>
            <w:vAlign w:val="center"/>
            <w:shd w:fill="FFFFFF"/>
          </w:tcPr>
          <w:p>
            <w:pPr>
              <w:spacing w:after="60"/>
            </w:pPr>
            <w:r>
              <w:rPr>
                <w:b/>
                <w:i/>
                <w:sz w:val="22"/>
              </w:rPr>
              <w:t>Humidity</w:t>
            </w:r>
          </w:p>
        </w:tc>
        <w:tc>
          <w:tcPr>
            <w:tcW w:type="dxa" w:w="5083"/>
            <w:vAlign w:val="center"/>
            <w:shd w:fill="FFFFFF"/>
          </w:tcPr>
          <w:p>
            <w:pPr>
              <w:spacing w:after="60"/>
            </w:pPr>
            <w:r>
              <w:rPr>
                <w:b w:val="0"/>
                <w:i/>
                <w:sz w:val="22"/>
              </w:rPr>
              <w:t>Moderate to high, with good air movement. A pebble tray helps little; a room humidifier works better.</w:t>
            </w:r>
          </w:p>
        </w:tc>
      </w:tr>
      <w:tr>
        <w:trPr>
          <w:cantSplit/>
        </w:trPr>
        <w:tc>
          <w:tcPr>
            <w:tcW w:type="dxa" w:w="5083"/>
            <w:vAlign w:val="center"/>
            <w:shd w:fill="FFFFFF"/>
          </w:tcPr>
          <w:p>
            <w:pPr>
              <w:spacing w:after="60"/>
            </w:pPr>
            <w:r>
              <w:rPr>
                <w:b/>
                <w:i/>
                <w:sz w:val="22"/>
              </w:rPr>
              <w:t>Growth</w:t>
            </w:r>
          </w:p>
        </w:tc>
        <w:tc>
          <w:tcPr>
            <w:tcW w:type="dxa" w:w="5083"/>
            <w:vAlign w:val="center"/>
            <w:shd w:fill="FFFFFF"/>
          </w:tcPr>
          <w:p>
            <w:pPr>
              <w:spacing w:after="60"/>
            </w:pPr>
            <w:r>
              <w:rPr>
                <w:b w:val="0"/>
                <w:i/>
                <w:sz w:val="22"/>
              </w:rPr>
              <w:t>Evergreen trailing/climbing vine. Pinch tips to keep it full and compact.</w:t>
            </w:r>
          </w:p>
        </w:tc>
      </w:tr>
      <w:tr>
        <w:trPr>
          <w:cantSplit/>
        </w:trPr>
        <w:tc>
          <w:tcPr>
            <w:tcW w:type="dxa" w:w="5083"/>
            <w:vAlign w:val="center"/>
            <w:shd w:fill="FFFFFF"/>
          </w:tcPr>
          <w:p>
            <w:pPr>
              <w:spacing w:after="60"/>
            </w:pPr>
            <w:r>
              <w:rPr>
                <w:b/>
                <w:i/>
                <w:sz w:val="22"/>
              </w:rPr>
              <w:t>Difficulty</w:t>
            </w:r>
          </w:p>
        </w:tc>
        <w:tc>
          <w:tcPr>
            <w:tcW w:type="dxa" w:w="5083"/>
            <w:vAlign w:val="center"/>
            <w:shd w:fill="FFFFFF"/>
          </w:tcPr>
          <w:p>
            <w:pPr>
              <w:spacing w:after="60"/>
            </w:pPr>
            <w:r>
              <w:rPr>
                <w:b w:val="0"/>
                <w:i/>
                <w:sz w:val="22"/>
              </w:rPr>
              <w:t>Moderate indoors: spider mites and warm, dry air are the usual trouble.</w:t>
            </w:r>
          </w:p>
        </w:tc>
      </w:tr>
    </w:tbl>
    <w:p>
      <w:pPr>
        <w:spacing w:after="20"/>
      </w:pPr>
    </w:p>
    <w:p>
      <w:pPr>
        <w:pStyle w:val="Heading2"/>
      </w:pPr>
      <w:r>
        <w:t>Care</w:t>
      </w:r>
    </w:p>
    <w:p>
      <w:r>
        <w:rPr>
          <w:b/>
          <w:i/>
        </w:rPr>
        <w:t xml:space="preserve">Light.  </w:t>
      </w:r>
      <w:r>
        <w:rPr>
          <w:b/>
          <w:i/>
        </w:rPr>
        <w:t>Place near an east or north window, or several feet back from a bright south/west window. Rotate weekly. Long internodes and small leaves mean insufficient light.</w:t>
      </w:r>
    </w:p>
    <w:p>
      <w:r>
        <w:rPr>
          <w:b/>
          <w:i/>
        </w:rPr>
        <w:t xml:space="preserve">Water.  </w:t>
      </w:r>
      <w:r>
        <w:rPr>
          <w:b/>
          <w:i/>
        </w:rPr>
        <w:t>Check with a finger or wooden skewer. Water until excess drains, then empty the saucer or cachepot. Yellowing plus wet soil usually means too much water; crisp edges and rapid mite outbreaks often accompany dry conditions.</w:t>
      </w:r>
    </w:p>
    <w:p>
      <w:r>
        <w:rPr>
          <w:b/>
          <w:i/>
        </w:rPr>
        <w:t xml:space="preserve">Air and grooming.  </w:t>
      </w:r>
      <w:r>
        <w:rPr>
          <w:b/>
          <w:i/>
        </w:rPr>
        <w:t>Provide air circulation without a furnace draft. Rinse foliage periodically, inspect leaf undersides, remove dead leaves, and trim vigorous shoots. Cut out plain-green reversions on variegated plants.</w:t>
      </w:r>
    </w:p>
    <w:p>
      <w:pPr>
        <w:pStyle w:val="Heading2"/>
      </w:pPr>
      <w:r>
        <w:t>Standard Potting Mix</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val="0"/>
                <w:sz w:val="22"/>
              </w:rPr>
              <w:t>Tropical Foliage Standard Mix: 1 part generic potting soil + 1 part coarse perlite, by volume.</w:t>
            </w:r>
          </w:p>
        </w:tc>
      </w:tr>
    </w:tbl>
    <w:p>
      <w:pPr>
        <w:spacing w:after="20"/>
      </w:pPr>
    </w:p>
    <w:p>
      <w:pPr>
        <w:pStyle w:val="ListBullet"/>
      </w:pPr>
      <w:r>
        <w:rPr>
          <w:b/>
          <w:i/>
        </w:rPr>
        <w:t>Use a pot with drainage holes; repot only one size larger.</w:t>
      </w:r>
    </w:p>
    <w:p>
      <w:pPr>
        <w:pStyle w:val="ListBullet"/>
      </w:pPr>
      <w:r>
        <w:rPr>
          <w:b/>
          <w:i/>
        </w:rPr>
        <w:t>Repot in spring when roots circle the pot or the mix drains poorly—usually every 1–2 years.</w:t>
      </w:r>
    </w:p>
    <w:p>
      <w:pPr>
        <w:pStyle w:val="ListBullet"/>
      </w:pPr>
      <w:r>
        <w:rPr>
          <w:b/>
          <w:i/>
        </w:rPr>
        <w:t>Do not use cactus mix alone; it dries too quickly for ivy in ordinary indoor conditions.</w:t>
      </w:r>
    </w:p>
    <w:p>
      <w:pPr>
        <w:pStyle w:val="Heading2"/>
      </w:pPr>
      <w:r>
        <w:t>Feeding</w:t>
      </w:r>
    </w:p>
    <w:p>
      <w:r>
        <w:rPr>
          <w:b/>
          <w:i/>
        </w:rPr>
        <w:t xml:space="preserve">Spring through early autumn.  </w:t>
      </w:r>
      <w:r>
        <w:rPr>
          <w:b/>
          <w:i/>
        </w:rPr>
        <w:t>Use a balanced houseplant fertilizer at one-half label strength every 4 weeks while actively growing. Water first; never fertilize dry roots.</w:t>
      </w:r>
    </w:p>
    <w:p>
      <w:r>
        <w:rPr>
          <w:b/>
          <w:i/>
        </w:rPr>
        <w:t xml:space="preserve">Winter.  </w:t>
      </w:r>
      <w:r>
        <w:rPr>
          <w:b/>
          <w:i/>
        </w:rPr>
        <w:t>Stop or greatly reduce feeding when growth slows. Flush the pot with plain water every few months to limit salt buildup.</w:t>
      </w:r>
    </w:p>
    <w:p>
      <w:pPr>
        <w:pStyle w:val="Heading2"/>
      </w:pPr>
      <w:r>
        <w:t>Propagation</w:t>
      </w:r>
    </w:p>
    <w:p>
      <w:pPr>
        <w:pStyle w:val="ListBullet"/>
      </w:pPr>
      <w:r>
        <w:rPr>
          <w:b/>
          <w:i/>
        </w:rPr>
        <w:t>Cut a healthy 3–5 in (8–13 cm) juvenile shoot immediately below a node; keep 2–4 leaves.</w:t>
      </w:r>
    </w:p>
    <w:p>
      <w:pPr>
        <w:pStyle w:val="ListBullet"/>
      </w:pPr>
      <w:r>
        <w:rPr>
          <w:b/>
          <w:i/>
        </w:rPr>
        <w:t>Remove the lowest leaf and place the node in moist, airy potting mix. Water rooting also works, but transfer before roots become long and brittle.</w:t>
      </w:r>
    </w:p>
    <w:p>
      <w:pPr>
        <w:pStyle w:val="ListBullet"/>
      </w:pPr>
      <w:r>
        <w:rPr>
          <w:b/>
          <w:i/>
        </w:rPr>
        <w:t>Keep warm but out of direct sun. Maintain even moisture—not saturation. Pot several rooted cuttings together for a full plant.</w:t>
      </w:r>
    </w:p>
    <w:p>
      <w:pPr>
        <w:pStyle w:val="Heading2"/>
      </w:pPr>
      <w:r>
        <w:t>Flowering</w:t>
      </w:r>
    </w:p>
    <w:p>
      <w:r>
        <w:rPr>
          <w:b/>
          <w:i/>
        </w:rPr>
        <w:t xml:space="preserve">What to expect.  </w:t>
      </w:r>
      <w:r>
        <w:rPr>
          <w:b/>
          <w:i/>
        </w:rPr>
        <w:t>Indoor, regularly pruned ivy usually remains juvenile and does not flower. Mature outdoor shoots become bushier, develop unlobed leaves, and bear rounded clusters of small yellow-green flowers in autumn, followed by dark berries. Flowering may take about ten years.</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sz w:val="22"/>
              </w:rPr>
              <w:t xml:space="preserve">DO NOT EAT  </w:t>
            </w:r>
            <w:r>
              <w:rPr>
                <w:b/>
                <w:i/>
                <w:sz w:val="22"/>
              </w:rPr>
              <w:t>Leaves and berries are harmful if eaten. Sap can irritate skin. Keep away from cats, dogs, and children; wear gloves when pruning or repotting.</w:t>
            </w:r>
          </w:p>
        </w:tc>
      </w:tr>
    </w:tbl>
    <w:p>
      <w:pPr>
        <w:spacing w:after="20"/>
      </w:pPr>
    </w:p>
    <w:p>
      <w:pPr>
        <w:pStyle w:val="Heading2"/>
      </w:pPr>
      <w:r>
        <w:t>Environment / Native Habitat</w:t>
      </w:r>
    </w:p>
    <w:p>
      <w:r>
        <w:rPr>
          <w:b/>
          <w:i/>
        </w:rPr>
        <w:t xml:space="preserve">Growth strategy.  </w:t>
      </w:r>
      <w:r>
        <w:rPr>
          <w:b/>
          <w:i/>
        </w:rPr>
        <w:t>Juvenile stems creep or climb by aerial rootlets in shade. After reaching brighter upper growth and maturity, shoots become shrubby and flowering—a striking change called heteroblasty.</w:t>
      </w:r>
    </w:p>
    <w:p>
      <w:r>
        <w:rPr>
          <w:b/>
          <w:i/>
        </w:rPr>
        <w:t xml:space="preserve">Outdoor caution.  </w:t>
      </w:r>
      <w:r>
        <w:rPr>
          <w:b/>
          <w:i/>
        </w:rPr>
        <w:t>English ivy escapes cultivation and is invasive in parts of North America. Keep plants indoors or in contained pots; never discard live stems outdoors. Check current local guidance before any outdoor planting.</w:t>
      </w:r>
    </w:p>
    <w:p>
      <w:pPr>
        <w:pStyle w:val="Heading2"/>
      </w:pPr>
      <w:r>
        <w:t>Troubleshooting</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Symptom</w:t>
            </w:r>
          </w:p>
        </w:tc>
        <w:tc>
          <w:tcPr>
            <w:tcW w:type="dxa" w:w="5083"/>
            <w:vAlign w:val="center"/>
            <w:shd w:fill="E9EDF0"/>
          </w:tcPr>
          <w:p>
            <w:pPr>
              <w:spacing w:after="60"/>
            </w:pPr>
            <w:r>
              <w:rPr>
                <w:b/>
                <w:i/>
                <w:sz w:val="22"/>
              </w:rPr>
              <w:t>Likely cause and response</w:t>
            </w:r>
          </w:p>
        </w:tc>
      </w:tr>
      <w:tr>
        <w:trPr>
          <w:cantSplit/>
        </w:trPr>
        <w:tc>
          <w:tcPr>
            <w:tcW w:type="dxa" w:w="5083"/>
            <w:vAlign w:val="center"/>
            <w:shd w:fill="FFFFFF"/>
          </w:tcPr>
          <w:p>
            <w:pPr>
              <w:spacing w:after="60"/>
            </w:pPr>
            <w:r>
              <w:rPr>
                <w:b/>
                <w:i/>
                <w:sz w:val="22"/>
              </w:rPr>
              <w:t>Fine webbing; pale stippling</w:t>
            </w:r>
          </w:p>
        </w:tc>
        <w:tc>
          <w:tcPr>
            <w:tcW w:type="dxa" w:w="5083"/>
            <w:vAlign w:val="center"/>
            <w:shd w:fill="FFFFFF"/>
          </w:tcPr>
          <w:p>
            <w:pPr>
              <w:spacing w:after="60"/>
            </w:pPr>
            <w:r>
              <w:rPr>
                <w:b w:val="0"/>
                <w:i/>
                <w:sz w:val="22"/>
              </w:rPr>
              <w:t>Spider mites—common in hot, dry rooms. Isolate, rinse thoroughly, improve conditions, and repeat an appropriate treatment as directed.</w:t>
            </w:r>
          </w:p>
        </w:tc>
      </w:tr>
      <w:tr>
        <w:trPr>
          <w:cantSplit/>
        </w:trPr>
        <w:tc>
          <w:tcPr>
            <w:tcW w:type="dxa" w:w="5083"/>
            <w:vAlign w:val="center"/>
            <w:shd w:fill="FFFFFF"/>
          </w:tcPr>
          <w:p>
            <w:pPr>
              <w:spacing w:after="60"/>
            </w:pPr>
            <w:r>
              <w:rPr>
                <w:b/>
                <w:i/>
                <w:sz w:val="22"/>
              </w:rPr>
              <w:t>Sticky leaves; brown bumps</w:t>
            </w:r>
          </w:p>
        </w:tc>
        <w:tc>
          <w:tcPr>
            <w:tcW w:type="dxa" w:w="5083"/>
            <w:vAlign w:val="center"/>
            <w:shd w:fill="FFFFFF"/>
          </w:tcPr>
          <w:p>
            <w:pPr>
              <w:spacing w:after="60"/>
            </w:pPr>
            <w:r>
              <w:rPr>
                <w:b w:val="0"/>
                <w:i/>
                <w:sz w:val="22"/>
              </w:rPr>
              <w:t>Scale insects. Isolate; remove manually and treat repeatedly according to the product label.</w:t>
            </w:r>
          </w:p>
        </w:tc>
      </w:tr>
      <w:tr>
        <w:trPr>
          <w:cantSplit/>
        </w:trPr>
        <w:tc>
          <w:tcPr>
            <w:tcW w:type="dxa" w:w="5083"/>
            <w:vAlign w:val="center"/>
            <w:shd w:fill="FFFFFF"/>
          </w:tcPr>
          <w:p>
            <w:pPr>
              <w:spacing w:after="60"/>
            </w:pPr>
            <w:r>
              <w:rPr>
                <w:b/>
                <w:i/>
                <w:sz w:val="22"/>
              </w:rPr>
              <w:t>Black or brown leaf spots</w:t>
            </w:r>
          </w:p>
        </w:tc>
        <w:tc>
          <w:tcPr>
            <w:tcW w:type="dxa" w:w="5083"/>
            <w:vAlign w:val="center"/>
            <w:shd w:fill="FFFFFF"/>
          </w:tcPr>
          <w:p>
            <w:pPr>
              <w:spacing w:after="60"/>
            </w:pPr>
            <w:r>
              <w:rPr>
                <w:b w:val="0"/>
                <w:i/>
                <w:sz w:val="22"/>
              </w:rPr>
              <w:t>Possible bacterial or fungal leaf spot. Remove affected foliage, keep leaves dry, improve air flow, and disinfect cutting tools.</w:t>
            </w:r>
          </w:p>
        </w:tc>
      </w:tr>
      <w:tr>
        <w:trPr>
          <w:cantSplit/>
        </w:trPr>
        <w:tc>
          <w:tcPr>
            <w:tcW w:type="dxa" w:w="5083"/>
            <w:vAlign w:val="center"/>
            <w:shd w:fill="FFFFFF"/>
          </w:tcPr>
          <w:p>
            <w:pPr>
              <w:spacing w:after="60"/>
            </w:pPr>
            <w:r>
              <w:rPr>
                <w:b/>
                <w:i/>
                <w:sz w:val="22"/>
              </w:rPr>
              <w:t>Yellow leaves; soft stems</w:t>
            </w:r>
          </w:p>
        </w:tc>
        <w:tc>
          <w:tcPr>
            <w:tcW w:type="dxa" w:w="5083"/>
            <w:vAlign w:val="center"/>
            <w:shd w:fill="FFFFFF"/>
          </w:tcPr>
          <w:p>
            <w:pPr>
              <w:spacing w:after="60"/>
            </w:pPr>
            <w:r>
              <w:rPr>
                <w:b w:val="0"/>
                <w:i/>
                <w:sz w:val="22"/>
              </w:rPr>
              <w:t>Root stress from saturation. Inspect roots, remove rot, restore drainage, and let the upper mix dry between waterings.</w:t>
            </w:r>
          </w:p>
        </w:tc>
      </w:tr>
      <w:tr>
        <w:trPr>
          <w:cantSplit/>
        </w:trPr>
        <w:tc>
          <w:tcPr>
            <w:tcW w:type="dxa" w:w="5083"/>
            <w:vAlign w:val="center"/>
            <w:shd w:fill="FFFFFF"/>
          </w:tcPr>
          <w:p>
            <w:pPr>
              <w:spacing w:after="60"/>
            </w:pPr>
            <w:r>
              <w:rPr>
                <w:b/>
                <w:i/>
                <w:sz w:val="22"/>
              </w:rPr>
              <w:t>Long bare stems</w:t>
            </w:r>
          </w:p>
        </w:tc>
        <w:tc>
          <w:tcPr>
            <w:tcW w:type="dxa" w:w="5083"/>
            <w:vAlign w:val="center"/>
            <w:shd w:fill="FFFFFF"/>
          </w:tcPr>
          <w:p>
            <w:pPr>
              <w:spacing w:after="60"/>
            </w:pPr>
            <w:r>
              <w:rPr>
                <w:b w:val="0"/>
                <w:i/>
                <w:sz w:val="22"/>
              </w:rPr>
              <w:t>Insufficient light, heat, or lack of pinching. Increase indirect light and prune just above a node.</w:t>
            </w:r>
          </w:p>
        </w:tc>
      </w:tr>
    </w:tbl>
    <w:p>
      <w:pPr>
        <w:spacing w:after="20"/>
      </w:pPr>
    </w:p>
    <w:p>
      <w:pPr>
        <w:pStyle w:val="Heading2"/>
      </w:pPr>
      <w:r>
        <w:t>Sources and Confidence</w:t>
      </w:r>
    </w:p>
    <w:p>
      <w:r>
        <w:rPr>
          <w:b/>
          <w:i/>
        </w:rPr>
        <w:t xml:space="preserve">Identification confidence: High.  </w:t>
      </w:r>
      <w:r>
        <w:rPr>
          <w:b/>
          <w:i/>
        </w:rPr>
        <w:t>The diagnostic vegetative features match H. helix. Individual cultivar names cannot be established reliably from foliage form alone.</w:t>
      </w:r>
    </w:p>
    <w:p>
      <w:pPr>
        <w:pStyle w:val="ListBullet"/>
      </w:pPr>
      <w:r>
        <w:rPr>
          <w:b/>
          <w:i/>
        </w:rPr>
        <w:t>Royal Horticultural Society — Hedera (ivy) growing guide and Ivy on Trees and as Groundcover.</w:t>
      </w:r>
    </w:p>
    <w:p>
      <w:pPr>
        <w:pStyle w:val="ListBullet"/>
      </w:pPr>
      <w:r>
        <w:rPr>
          <w:b/>
          <w:i/>
        </w:rPr>
        <w:t>Missouri Botanical Garden — Hedera helix Plant Finder and Leaf Spots of English Ivy.</w:t>
      </w:r>
    </w:p>
    <w:p>
      <w:pPr>
        <w:pStyle w:val="ListBullet"/>
      </w:pPr>
      <w:r>
        <w:rPr>
          <w:b w:val="0"/>
          <w:i w:val="0"/>
        </w:rPr>
        <w:t>The source labels these habitat images as representative visualizations. They are illustrations, not verified photographs of native sites.</w:t>
      </w:r>
    </w:p>
    <w:p>
      <w:pPr>
        <w:pStyle w:val="Heading2"/>
      </w:pPr>
      <w:r>
        <w:t>Current Standard mix</w:t>
      </w:r>
    </w:p>
    <w:p>
      <w:r>
        <w:rPr>
          <w:b w:val="0"/>
          <w:i w:val="0"/>
        </w:rPr>
        <w:t>Tropical Foliage Standard Mix: 1 part generic potting soil + 1 part coarse perlite, by volume.</w:t>
      </w:r>
    </w:p>
    <w:p>
      <w:r>
        <w:rPr>
          <w:b w:val="0"/>
          <w:i w:val="0"/>
        </w:rPr>
        <w:t>Mix by volume without compression and keep the drainage hole open. Match watering to the species and root-zone drying. These are container recipes, not replacements for outdoor bed soil.</w:t>
      </w:r>
    </w:p>
    <w:p>
      <w:hyperlink r:id="rId12">
        <w:r>
          <w:rPr>
            <w:color w:val="245B43"/>
            <w:u w:val="single"/>
          </w:rPr>
          <w:t>NC State Extension — hedera helix</w:t>
        </w:r>
      </w:hyperlink>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english-ivy/" TargetMode="External"/><Relationship Id="rId12" Type="http://schemas.openxmlformats.org/officeDocument/2006/relationships/hyperlink" Target="https://plants.ces.ncsu.edu/plants/hedera-helix/"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ivy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