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Echinopsis calochlora</w:t>
      </w:r>
    </w:p>
    <w:p>
      <w:pPr>
        <w:spacing w:after="320"/>
      </w:pPr>
      <w:r>
        <w:t>Combined Information Sheets</w:t>
      </w:r>
    </w:p>
    <w:p>
      <w:pPr>
        <w:pStyle w:val="Heading1"/>
      </w:pPr>
      <w:r>
        <w:t>Echinopsis calochlora</w:t>
      </w:r>
    </w:p>
    <w:p>
      <w:r>
        <w:rPr>
          <w:b/>
        </w:rPr>
        <w:t xml:space="preserve">Online Information Sheet: </w:t>
      </w:r>
      <w:hyperlink r:id="rId11">
        <w:r>
          <w:rPr>
            <w:color w:val="245B43"/>
            <w:u w:val="single"/>
          </w:rPr>
          <w:t>planteducationproject.com/echinopsis-calochlora/</w:t>
        </w:r>
      </w:hyperlink>
    </w:p>
    <w:p>
      <w:r>
        <w:rPr>
          <w:b w:val="0"/>
          <w:i w:val="0"/>
        </w:rPr>
        <w:t>🌿 Plant Information Sheet</w:t>
      </w:r>
    </w:p>
    <w:p>
      <w:r>
        <w:rPr>
          <w:b w:val="0"/>
          <w:i w:val="0"/>
        </w:rPr>
        <w:t>Also called Lemon Barrel Cactus in the source sheet; verify the botanical name.</w:t>
      </w:r>
    </w:p>
    <w:p>
      <w:pPr>
        <w:pStyle w:val="Heading2"/>
      </w:pPr>
      <w:r>
        <w:t>Echinopsis calochlora K.Schum.</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The plant’s native range is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Indiana invasive designation established by this revision. Frost-sensitive container culture does not establish its status in other climates.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flowering, pollination and seedling conditions must all be suitable. Vegetative propagation is more dependable in ordinary home culture.</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food use established here. Do not eat ornamental plants or equate a non-toxic classification with edibility.</w:t>
            </w:r>
          </w:p>
        </w:tc>
      </w:tr>
    </w:tbl>
    <w:p>
      <w:pPr>
        <w:spacing w:after="20"/>
      </w:pPr>
    </w:p>
    <w:p>
      <w:r>
        <w:rPr>
          <w:b w:val="0"/>
          <w:i/>
        </w:rPr>
        <w:t>To understand the care of a plant, understand its native climate and environment.</w:t>
      </w:r>
    </w:p>
    <w:p>
      <w:pPr>
        <w:pStyle w:val="Heading2"/>
      </w:pPr>
      <w:r>
        <w:t>IDENTIFICATION</w:t>
      </w:r>
    </w:p>
    <w:p>
      <w:r>
        <w:rPr>
          <w:b w:val="0"/>
          <w:i w:val="0"/>
        </w:rPr>
        <w:t>Family: Cactaceae   •   Type: Clumping globose cactus / succulent subshrub</w:t>
      </w:r>
    </w:p>
    <w:p>
      <w:r>
        <w:rPr>
          <w:b w:val="0"/>
          <w:i w:val="0"/>
        </w:rPr>
        <w:t>Native range: Eastern Bolivia to west-central Brazil (Mato Grosso do Sul). Native biome: seasonally dry tropical. Conservation status: Least Concern.</w:t>
      </w:r>
    </w:p>
    <w:p>
      <w:r>
        <w:rPr>
          <w:b w:val="0"/>
          <w:i w:val="0"/>
        </w:rPr>
        <w:t>A small, strongly ribbed, bright- to dark-green cactus with pale needle-like spines. It readily produces basal offsets and can develop into a compact colony.</w:t>
      </w:r>
    </w:p>
    <w:p>
      <w:pPr>
        <w:pStyle w:val="Heading2"/>
      </w:pPr>
      <w:r>
        <w:t>CARE 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Factor</w:t>
            </w:r>
          </w:p>
        </w:tc>
        <w:tc>
          <w:tcPr>
            <w:tcW w:type="dxa" w:w="5083"/>
            <w:vAlign w:val="center"/>
            <w:shd w:fill="E9EDF0"/>
          </w:tcPr>
          <w:p>
            <w:pPr>
              <w:spacing w:after="60"/>
            </w:pPr>
            <w:r>
              <w:rPr>
                <w:b/>
                <w:i w:val="0"/>
                <w:sz w:val="22"/>
              </w:rPr>
              <w:t>Recommendation</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Very bright light; several hours of direct sun</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Soak thoroughly, then let the mix dry completely</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Warm growing season; cool, dry winter rest</w:t>
            </w:r>
          </w:p>
        </w:tc>
      </w:tr>
      <w:tr>
        <w:trPr>
          <w:cantSplit/>
        </w:trPr>
        <w:tc>
          <w:tcPr>
            <w:tcW w:type="dxa" w:w="5083"/>
            <w:vAlign w:val="center"/>
            <w:shd w:fill="FFFFFF"/>
          </w:tcPr>
          <w:p>
            <w:pPr>
              <w:spacing w:after="60"/>
            </w:pPr>
            <w:r>
              <w:rPr>
                <w:b/>
                <w:i w:val="0"/>
                <w:sz w:val="22"/>
              </w:rPr>
              <w:t>Humidity</w:t>
            </w:r>
          </w:p>
        </w:tc>
        <w:tc>
          <w:tcPr>
            <w:tcW w:type="dxa" w:w="5083"/>
            <w:vAlign w:val="center"/>
            <w:shd w:fill="FFFFFF"/>
          </w:tcPr>
          <w:p>
            <w:pPr>
              <w:spacing w:after="60"/>
            </w:pPr>
            <w:r>
              <w:rPr>
                <w:b w:val="0"/>
                <w:i w:val="0"/>
                <w:sz w:val="22"/>
              </w:rPr>
              <w:t>Low to moderate; good air movement</w:t>
            </w:r>
          </w:p>
        </w:tc>
      </w:tr>
      <w:tr>
        <w:trPr>
          <w:cantSplit/>
        </w:trPr>
        <w:tc>
          <w:tcPr>
            <w:tcW w:type="dxa" w:w="5083"/>
            <w:vAlign w:val="center"/>
            <w:shd w:fill="FFFFFF"/>
          </w:tcPr>
          <w:p>
            <w:pPr>
              <w:spacing w:after="60"/>
            </w:pPr>
            <w:r>
              <w:rPr>
                <w:b/>
                <w:i w:val="0"/>
                <w:sz w:val="22"/>
              </w:rPr>
              <w:t>Soil</w:t>
            </w:r>
          </w:p>
        </w:tc>
        <w:tc>
          <w:tcPr>
            <w:tcW w:type="dxa" w:w="5083"/>
            <w:vAlign w:val="center"/>
            <w:shd w:fill="FFFFFF"/>
          </w:tcPr>
          <w:p>
            <w:pPr>
              <w:spacing w:after="60"/>
            </w:pPr>
            <w:r>
              <w:rPr>
                <w:b w:val="0"/>
                <w:i w:val="0"/>
                <w:sz w:val="22"/>
              </w:rPr>
              <w:t>Desert Cactus Standard Mix: 1 part generic potting soil + 2 parts granite chicken grit, by volume.</w:t>
            </w:r>
          </w:p>
        </w:tc>
      </w:tr>
      <w:tr>
        <w:trPr>
          <w:cantSplit/>
        </w:trPr>
        <w:tc>
          <w:tcPr>
            <w:tcW w:type="dxa" w:w="5083"/>
            <w:vAlign w:val="center"/>
            <w:shd w:fill="FFFFFF"/>
          </w:tcPr>
          <w:p>
            <w:pPr>
              <w:spacing w:after="60"/>
            </w:pPr>
            <w:r>
              <w:rPr>
                <w:b/>
                <w:i w:val="0"/>
                <w:sz w:val="22"/>
              </w:rPr>
              <w:t>Pot</w:t>
            </w:r>
          </w:p>
        </w:tc>
        <w:tc>
          <w:tcPr>
            <w:tcW w:type="dxa" w:w="5083"/>
            <w:vAlign w:val="center"/>
            <w:shd w:fill="FFFFFF"/>
          </w:tcPr>
          <w:p>
            <w:pPr>
              <w:spacing w:after="60"/>
            </w:pPr>
            <w:r>
              <w:rPr>
                <w:b w:val="0"/>
                <w:i w:val="0"/>
                <w:sz w:val="22"/>
              </w:rPr>
              <w:t>Drainage hole mandatory; terracotta useful</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Light feeding during active growth</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Offsets or seed</w:t>
            </w:r>
          </w:p>
        </w:tc>
      </w:tr>
      <w:tr>
        <w:trPr>
          <w:cantSplit/>
        </w:trPr>
        <w:tc>
          <w:tcPr>
            <w:tcW w:type="dxa" w:w="5083"/>
            <w:vAlign w:val="center"/>
            <w:shd w:fill="FFFFFF"/>
          </w:tcPr>
          <w:p>
            <w:pPr>
              <w:spacing w:after="60"/>
            </w:pPr>
            <w:r>
              <w:rPr>
                <w:b/>
                <w:i w:val="0"/>
                <w:sz w:val="22"/>
              </w:rPr>
              <w:t>Main risk</w:t>
            </w:r>
          </w:p>
        </w:tc>
        <w:tc>
          <w:tcPr>
            <w:tcW w:type="dxa" w:w="5083"/>
            <w:vAlign w:val="center"/>
            <w:shd w:fill="FFFFFF"/>
          </w:tcPr>
          <w:p>
            <w:pPr>
              <w:spacing w:after="60"/>
            </w:pPr>
            <w:r>
              <w:rPr>
                <w:b w:val="0"/>
                <w:i w:val="0"/>
                <w:sz w:val="22"/>
              </w:rPr>
              <w:t>Persistent wet soil and root rot</w:t>
            </w:r>
          </w:p>
        </w:tc>
      </w:tr>
    </w:tbl>
    <w:p>
      <w:pPr>
        <w:spacing w:after="20"/>
      </w:pPr>
    </w:p>
    <w:p>
      <w:pPr>
        <w:pStyle w:val="Heading2"/>
      </w:pPr>
      <w:r>
        <w:t>LIGHT</w:t>
      </w:r>
    </w:p>
    <w:p>
      <w:r>
        <w:rPr>
          <w:b w:val="0"/>
          <w:i w:val="0"/>
        </w:rPr>
        <w:t>Provide very bright light and direct sun. Indoors, use the brightest south- or west-facing exposure available. Acclimate gradually when moving outdoors; abrupt exposure to intense sun can scorch the epidermis. Tall or narrowed new growth usually indicates insufficient light.</w:t>
      </w:r>
    </w:p>
    <w:p>
      <w:pPr>
        <w:pStyle w:val="Heading2"/>
      </w:pPr>
      <w:r>
        <w:t>WATER</w:t>
      </w:r>
    </w:p>
    <w:p>
      <w:r>
        <w:rPr>
          <w:b w:val="0"/>
          <w:i w:val="0"/>
        </w:rPr>
        <w:t>Use the soak-and-dry method: saturate the root ball, allow free drainage, then wait until the potting mix is thoroughly dry before watering again. Reduce watering sharply during a cool winter rest. Do not water by a fixed calendar.</w:t>
      </w:r>
    </w:p>
    <w:p>
      <w:pPr>
        <w:pStyle w:val="Heading2"/>
      </w:pPr>
      <w:r>
        <w:t>JIM'S STANDARD SOIL MIX</w:t>
      </w:r>
    </w:p>
    <w:p>
      <w:r>
        <w:rPr>
          <w:b w:val="0"/>
          <w:i w:val="0"/>
        </w:rPr>
        <w:t>Desert Cactus Standard Mix: 1 part generic potting soil + 2 parts granite chicken grit, by volume.</w:t>
      </w:r>
    </w:p>
    <w:p>
      <w:pPr>
        <w:pStyle w:val="Heading2"/>
      </w:pPr>
      <w:r>
        <w:t>FEEDING</w:t>
      </w:r>
    </w:p>
    <w:p>
      <w:r>
        <w:rPr>
          <w:b w:val="0"/>
          <w:i w:val="0"/>
        </w:rPr>
        <w:t>Feed lightly in spring and summer while actively growing. Use a low-nitrogen cactus fertilizer at about ¼–½ label strength roughly monthly. Do not fertilize during winter dormancy.</w:t>
      </w:r>
    </w:p>
    <w:p>
      <w:pPr>
        <w:pStyle w:val="Heading2"/>
      </w:pPr>
      <w:r>
        <w:t>POTTING &amp; REPOTTING</w:t>
      </w:r>
    </w:p>
    <w:p>
      <w:r>
        <w:rPr>
          <w:b w:val="0"/>
          <w:i w:val="0"/>
        </w:rPr>
        <w:t>Use a pot only slightly larger than the root system. A drainage hole is mandatory. Terracotta can help the substrate dry faster. Repot when roots fill the container, drainage deteriorates, the mix breaks down, or offsets crowd the pot.</w:t>
      </w:r>
    </w:p>
    <w:p>
      <w:pPr>
        <w:pStyle w:val="Heading2"/>
      </w:pPr>
      <w:r>
        <w:t>PROPAGATION</w:t>
      </w:r>
    </w:p>
    <w:p>
      <w:r>
        <w:rPr>
          <w:b w:val="0"/>
          <w:i w:val="0"/>
        </w:rPr>
        <w:t>Offsets are the easiest method. Separate a healthy offset and let the wound dry and callus for 2-5 days; allow up to 7 days for a large or moist wound. Then place it in dry, fast-draining cactus mix and water cautiously after rooting begins. Seed propagation is also possible.</w:t>
      </w:r>
    </w:p>
    <w:p>
      <w:pPr>
        <w:pStyle w:val="Heading2"/>
      </w:pPr>
      <w:r>
        <w:t>FLOWERING</w:t>
      </w:r>
    </w:p>
    <w:p>
      <w:r>
        <w:rPr>
          <w:b w:val="0"/>
          <w:i w:val="0"/>
        </w:rPr>
        <w:t>Large white, funnel-shaped flowers arise on elongated hairy tubes and typically open at night. Strong flowering is favored by bright summer light, healthy growth, and a cool, relatively dry winter rest. Failure to flower is often caused by inadequate light, immaturity, or lack of a winter rest rather than lack of fertilizer.</w:t>
      </w:r>
    </w:p>
    <w:p>
      <w:pPr>
        <w:pStyle w:val="Heading2"/>
      </w:pPr>
      <w:r>
        <w:t>ENVIRONMENT / NATIVE HABITAT</w:t>
      </w:r>
    </w:p>
    <w:p>
      <w:r>
        <w:rPr>
          <w:b w:val="0"/>
          <w:i w:val="0"/>
        </w:rPr>
        <w:t>Kew records Echinopsis calochlora from eastern Bolivia to west-central Brazil, including Mato Grosso do Sul, and places it primarily in the seasonally dry tropical biome. This region has pronounced wet and dry seasons. In the Cerrado of Mato Grosso do Sul, summer is rainy and winter is dry; this seasonal rhythm helps explain why the cactus responds well to episodic watering followed by substantial drying and to a drier winter rest.</w:t>
      </w:r>
    </w:p>
    <w:p>
      <w:r>
        <w:rPr>
          <w:b w:val="0"/>
          <w:i w:val="0"/>
        </w:rPr>
        <w:t>Cultivation principle: reproduce the habitat rhythm rather than keeping the root zone continuously moist.</w:t>
      </w:r>
    </w:p>
    <w:p>
      <w:pPr>
        <w:pStyle w:val="Heading2"/>
      </w:pPr>
      <w:r>
        <w:t>TROUBLESHOOTING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Symptom</w:t>
            </w:r>
          </w:p>
        </w:tc>
        <w:tc>
          <w:tcPr>
            <w:tcW w:type="dxa" w:w="5083"/>
            <w:vAlign w:val="center"/>
            <w:shd w:fill="E9EDF0"/>
          </w:tcPr>
          <w:p>
            <w:pPr>
              <w:spacing w:after="60"/>
            </w:pPr>
            <w:r>
              <w:rPr>
                <w:b/>
                <w:i w:val="0"/>
                <w:sz w:val="22"/>
              </w:rPr>
              <w:t>Likely cause</w:t>
            </w:r>
          </w:p>
        </w:tc>
      </w:tr>
      <w:tr>
        <w:trPr>
          <w:cantSplit/>
        </w:trPr>
        <w:tc>
          <w:tcPr>
            <w:tcW w:type="dxa" w:w="5083"/>
            <w:vAlign w:val="center"/>
            <w:shd w:fill="FFFFFF"/>
          </w:tcPr>
          <w:p>
            <w:pPr>
              <w:spacing w:after="60"/>
            </w:pPr>
            <w:r>
              <w:rPr>
                <w:b/>
                <w:i w:val="0"/>
                <w:sz w:val="22"/>
              </w:rPr>
              <w:t>Soft/mushy base</w:t>
            </w:r>
          </w:p>
        </w:tc>
        <w:tc>
          <w:tcPr>
            <w:tcW w:type="dxa" w:w="5083"/>
            <w:vAlign w:val="center"/>
            <w:shd w:fill="FFFFFF"/>
          </w:tcPr>
          <w:p>
            <w:pPr>
              <w:spacing w:after="60"/>
            </w:pPr>
            <w:r>
              <w:rPr>
                <w:b w:val="0"/>
                <w:i w:val="0"/>
                <w:sz w:val="22"/>
              </w:rPr>
              <w:t>Excess moisture; possible root/stem rot</w:t>
            </w:r>
          </w:p>
        </w:tc>
      </w:tr>
      <w:tr>
        <w:trPr>
          <w:cantSplit/>
        </w:trPr>
        <w:tc>
          <w:tcPr>
            <w:tcW w:type="dxa" w:w="5083"/>
            <w:vAlign w:val="center"/>
            <w:shd w:fill="FFFFFF"/>
          </w:tcPr>
          <w:p>
            <w:pPr>
              <w:spacing w:after="60"/>
            </w:pPr>
            <w:r>
              <w:rPr>
                <w:b/>
                <w:i w:val="0"/>
                <w:sz w:val="22"/>
              </w:rPr>
              <w:t>Tall, narrow growth</w:t>
            </w:r>
          </w:p>
        </w:tc>
        <w:tc>
          <w:tcPr>
            <w:tcW w:type="dxa" w:w="5083"/>
            <w:vAlign w:val="center"/>
            <w:shd w:fill="FFFFFF"/>
          </w:tcPr>
          <w:p>
            <w:pPr>
              <w:spacing w:after="60"/>
            </w:pPr>
            <w:r>
              <w:rPr>
                <w:b w:val="0"/>
                <w:i w:val="0"/>
                <w:sz w:val="22"/>
              </w:rPr>
              <w:t>Insufficient light</w:t>
            </w:r>
          </w:p>
        </w:tc>
      </w:tr>
      <w:tr>
        <w:trPr>
          <w:cantSplit/>
        </w:trPr>
        <w:tc>
          <w:tcPr>
            <w:tcW w:type="dxa" w:w="5083"/>
            <w:vAlign w:val="center"/>
            <w:shd w:fill="FFFFFF"/>
          </w:tcPr>
          <w:p>
            <w:pPr>
              <w:spacing w:after="60"/>
            </w:pPr>
            <w:r>
              <w:rPr>
                <w:b/>
                <w:i w:val="0"/>
                <w:sz w:val="22"/>
              </w:rPr>
              <w:t>Bleached/brown patch</w:t>
            </w:r>
          </w:p>
        </w:tc>
        <w:tc>
          <w:tcPr>
            <w:tcW w:type="dxa" w:w="5083"/>
            <w:vAlign w:val="center"/>
            <w:shd w:fill="FFFFFF"/>
          </w:tcPr>
          <w:p>
            <w:pPr>
              <w:spacing w:after="60"/>
            </w:pPr>
            <w:r>
              <w:rPr>
                <w:b w:val="0"/>
                <w:i w:val="0"/>
                <w:sz w:val="22"/>
              </w:rPr>
              <w:t>Sunburn after abrupt light increase</w:t>
            </w:r>
          </w:p>
        </w:tc>
      </w:tr>
      <w:tr>
        <w:trPr>
          <w:cantSplit/>
        </w:trPr>
        <w:tc>
          <w:tcPr>
            <w:tcW w:type="dxa" w:w="5083"/>
            <w:vAlign w:val="center"/>
            <w:shd w:fill="FFFFFF"/>
          </w:tcPr>
          <w:p>
            <w:pPr>
              <w:spacing w:after="60"/>
            </w:pPr>
            <w:r>
              <w:rPr>
                <w:b/>
                <w:i w:val="0"/>
                <w:sz w:val="22"/>
              </w:rPr>
              <w:t>Wrinkling in active growth</w:t>
            </w:r>
          </w:p>
        </w:tc>
        <w:tc>
          <w:tcPr>
            <w:tcW w:type="dxa" w:w="5083"/>
            <w:vAlign w:val="center"/>
            <w:shd w:fill="FFFFFF"/>
          </w:tcPr>
          <w:p>
            <w:pPr>
              <w:spacing w:after="60"/>
            </w:pPr>
            <w:r>
              <w:rPr>
                <w:b w:val="0"/>
                <w:i w:val="0"/>
                <w:sz w:val="22"/>
              </w:rPr>
              <w:t>Prolonged drought or root problems</w:t>
            </w:r>
          </w:p>
        </w:tc>
      </w:tr>
      <w:tr>
        <w:trPr>
          <w:cantSplit/>
        </w:trPr>
        <w:tc>
          <w:tcPr>
            <w:tcW w:type="dxa" w:w="5083"/>
            <w:vAlign w:val="center"/>
            <w:shd w:fill="FFFFFF"/>
          </w:tcPr>
          <w:p>
            <w:pPr>
              <w:spacing w:after="60"/>
            </w:pPr>
            <w:r>
              <w:rPr>
                <w:b/>
                <w:i w:val="0"/>
                <w:sz w:val="22"/>
              </w:rPr>
              <w:t>No flowers</w:t>
            </w:r>
          </w:p>
        </w:tc>
        <w:tc>
          <w:tcPr>
            <w:tcW w:type="dxa" w:w="5083"/>
            <w:vAlign w:val="center"/>
            <w:shd w:fill="FFFFFF"/>
          </w:tcPr>
          <w:p>
            <w:pPr>
              <w:spacing w:after="60"/>
            </w:pPr>
            <w:r>
              <w:rPr>
                <w:b w:val="0"/>
                <w:i w:val="0"/>
                <w:sz w:val="22"/>
              </w:rPr>
              <w:t>Insufficient light, immaturity, or inadequate winter rest</w:t>
            </w:r>
          </w:p>
        </w:tc>
      </w:tr>
      <w:tr>
        <w:trPr>
          <w:cantSplit/>
        </w:trPr>
        <w:tc>
          <w:tcPr>
            <w:tcW w:type="dxa" w:w="5083"/>
            <w:vAlign w:val="center"/>
            <w:shd w:fill="FFFFFF"/>
          </w:tcPr>
          <w:p>
            <w:pPr>
              <w:spacing w:after="60"/>
            </w:pPr>
            <w:r>
              <w:rPr>
                <w:b/>
                <w:i w:val="0"/>
                <w:sz w:val="22"/>
              </w:rPr>
              <w:t>White cottony material</w:t>
            </w:r>
          </w:p>
        </w:tc>
        <w:tc>
          <w:tcPr>
            <w:tcW w:type="dxa" w:w="5083"/>
            <w:vAlign w:val="center"/>
            <w:shd w:fill="FFFFFF"/>
          </w:tcPr>
          <w:p>
            <w:pPr>
              <w:spacing w:after="60"/>
            </w:pPr>
            <w:r>
              <w:rPr>
                <w:b w:val="0"/>
                <w:i w:val="0"/>
                <w:sz w:val="22"/>
              </w:rPr>
              <w:t>Mealybugs</w:t>
            </w:r>
          </w:p>
        </w:tc>
      </w:tr>
      <w:tr>
        <w:trPr>
          <w:cantSplit/>
        </w:trPr>
        <w:tc>
          <w:tcPr>
            <w:tcW w:type="dxa" w:w="5083"/>
            <w:vAlign w:val="center"/>
            <w:shd w:fill="FFFFFF"/>
          </w:tcPr>
          <w:p>
            <w:pPr>
              <w:spacing w:after="60"/>
            </w:pPr>
            <w:r>
              <w:rPr>
                <w:b/>
                <w:i w:val="0"/>
                <w:sz w:val="22"/>
              </w:rPr>
              <w:t>Fine webbing/stippling</w:t>
            </w:r>
          </w:p>
        </w:tc>
        <w:tc>
          <w:tcPr>
            <w:tcW w:type="dxa" w:w="5083"/>
            <w:vAlign w:val="center"/>
            <w:shd w:fill="FFFFFF"/>
          </w:tcPr>
          <w:p>
            <w:pPr>
              <w:spacing w:after="60"/>
            </w:pPr>
            <w:r>
              <w:rPr>
                <w:b w:val="0"/>
                <w:i w:val="0"/>
                <w:sz w:val="22"/>
              </w:rPr>
              <w:t>Spider mites</w:t>
            </w:r>
          </w:p>
        </w:tc>
      </w:tr>
    </w:tbl>
    <w:p>
      <w:pPr>
        <w:spacing w:after="20"/>
      </w:pPr>
    </w:p>
    <w:p>
      <w:pPr>
        <w:pStyle w:val="Heading2"/>
      </w:pPr>
      <w:r>
        <w:t>THE HABITAT RULE</w:t>
      </w:r>
    </w:p>
    <w:p>
      <w:pPr>
        <w:pStyle w:val="Heading2"/>
      </w:pPr>
      <w:r>
        <w:t>Treat the cactus like its habitat, not like a tropical houseplant.</w:t>
      </w:r>
    </w:p>
    <w:p>
      <w:r>
        <w:rPr>
          <w:b w:val="0"/>
          <w:i w:val="0"/>
        </w:rPr>
        <w:t>Its roots need water followed by air and drying. Persistent moisture is much more dangerous than an occasional extra dry day.</w:t>
      </w:r>
    </w:p>
    <w:p>
      <w:pPr>
        <w:pStyle w:val="Heading2"/>
      </w:pPr>
      <w:r>
        <w:t>REFERENCES</w:t>
      </w:r>
    </w:p>
    <w:p>
      <w:r>
        <w:rPr>
          <w:b w:val="0"/>
          <w:i w:val="0"/>
        </w:rPr>
        <w:t>Royal Botanic Gardens, Kew — Plants of the World Online. Echinopsis calochlora K.Schum. Accepted species; native to eastern Bolivia and west-central Brazil; seasonally dry tropical biome.</w:t>
      </w:r>
    </w:p>
    <w:p>
      <w:r>
        <w:rPr>
          <w:b w:val="0"/>
          <w:i w:val="0"/>
        </w:rPr>
        <w:t>Royal Horticultural Society — Echinopsis calochlora.</w:t>
      </w:r>
    </w:p>
    <w:p>
      <w:r>
        <w:rPr>
          <w:b w:val="0"/>
          <w:i w:val="0"/>
        </w:rPr>
        <w:t>Britton &amp; Rose — The Cactaceae, Vol. III, historical botanical description.</w:t>
      </w:r>
    </w:p>
    <w:p>
      <w:r>
        <w:rPr>
          <w:b w:val="0"/>
          <w:i w:val="0"/>
        </w:rPr>
        <w:t>Environmental context: published descriptions of the Cerrado and seasonally dry tropical vegetation of Mato Grosso do Sul and southeastern Bolivia.</w:t>
      </w:r>
    </w:p>
    <w:p>
      <w:pPr>
        <w:pStyle w:val="Heading2"/>
      </w:pPr>
      <w:r>
        <w:t>Current Standard mix</w:t>
      </w:r>
    </w:p>
    <w:p>
      <w:r>
        <w:rPr>
          <w:b w:val="0"/>
          <w:i w:val="0"/>
        </w:rPr>
        <w:t>Desert Cactus Standard Mix: 1 part generic potting soil + 2 parts granite chicken grit, by volume.</w:t>
      </w:r>
    </w:p>
    <w:p>
      <w:r>
        <w:rPr>
          <w:b w:val="0"/>
          <w:i w:val="0"/>
        </w:rPr>
        <w:t>Mix by volume without compression and keep the drainage hole open. Match watering to the species and root-zone drying. These are container recipes, not replacements for outdoor bed soil.</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chinopsis-calochlora/"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echinopsis calochlora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