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Earth Stars</w:t>
      </w:r>
    </w:p>
    <w:p>
      <w:pPr>
        <w:spacing w:after="320"/>
      </w:pPr>
      <w:r>
        <w:t>Combined Information Sheets</w:t>
      </w:r>
    </w:p>
    <w:p>
      <w:pPr>
        <w:pStyle w:val="Heading1"/>
      </w:pPr>
      <w:r>
        <w:t>Earth Stars</w:t>
      </w:r>
    </w:p>
    <w:p>
      <w:r>
        <w:rPr>
          <w:b/>
        </w:rPr>
        <w:t xml:space="preserve">Online Information Sheet: </w:t>
      </w:r>
      <w:hyperlink r:id="rId11">
        <w:r>
          <w:rPr>
            <w:color w:val="245B43"/>
            <w:u w:val="single"/>
          </w:rPr>
          <w:t>planteducationproject.com/earth-stars/</w:t>
        </w:r>
      </w:hyperlink>
    </w:p>
    <w:p>
      <w:r>
        <w:rPr>
          <w:b w:val="0"/>
          <w:i w:val="0"/>
        </w:rPr>
        <w:t>🌿 Plant Information Sheet</w:t>
      </w:r>
    </w:p>
    <w:p>
      <w:r>
        <w:rPr>
          <w:b/>
          <w:i/>
        </w:rPr>
        <w:t>Cryptanthus species and cultivars</w:t>
      </w:r>
    </w:p>
    <w:p>
      <w:r>
        <w:rPr>
          <w:b w:val="0"/>
          <w:i/>
        </w:rPr>
        <w:t>A low, colorful, soil-growing bromeliad from Brazil</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Plant type</w:t>
            </w:r>
          </w:p>
        </w:tc>
        <w:tc>
          <w:tcPr>
            <w:tcW w:type="dxa" w:w="5083"/>
            <w:vAlign w:val="center"/>
            <w:shd w:fill="E9EDF0"/>
          </w:tcPr>
          <w:p>
            <w:pPr>
              <w:spacing w:after="60"/>
            </w:pPr>
            <w:r>
              <w:rPr>
                <w:b/>
                <w:i w:val="0"/>
                <w:sz w:val="22"/>
              </w:rPr>
              <w:t>Terrestrial bromeliad; evergreen houseplant</w:t>
            </w:r>
          </w:p>
        </w:tc>
      </w:tr>
      <w:tr>
        <w:trPr>
          <w:cantSplit/>
        </w:trPr>
        <w:tc>
          <w:tcPr>
            <w:tcW w:type="dxa" w:w="5083"/>
            <w:vAlign w:val="center"/>
            <w:shd w:fill="FFFFFF"/>
          </w:tcPr>
          <w:p>
            <w:pPr>
              <w:spacing w:after="60"/>
            </w:pPr>
            <w:r>
              <w:rPr>
                <w:b/>
                <w:i w:val="0"/>
                <w:sz w:val="22"/>
              </w:rPr>
              <w:t>Typical size</w:t>
            </w:r>
          </w:p>
        </w:tc>
        <w:tc>
          <w:tcPr>
            <w:tcW w:type="dxa" w:w="5083"/>
            <w:vAlign w:val="center"/>
            <w:shd w:fill="FFFFFF"/>
          </w:tcPr>
          <w:p>
            <w:pPr>
              <w:spacing w:after="60"/>
            </w:pPr>
            <w:r>
              <w:rPr>
                <w:b w:val="0"/>
                <w:i w:val="0"/>
                <w:sz w:val="22"/>
              </w:rPr>
              <w:t>About 3–8 in. tall and 6–18 in. wide; varies by species/cultivar</w:t>
            </w:r>
          </w:p>
        </w:tc>
      </w:tr>
      <w:tr>
        <w:trPr>
          <w:cantSplit/>
        </w:trPr>
        <w:tc>
          <w:tcPr>
            <w:tcW w:type="dxa" w:w="5083"/>
            <w:vAlign w:val="center"/>
            <w:shd w:fill="FFFFFF"/>
          </w:tcPr>
          <w:p>
            <w:pPr>
              <w:spacing w:after="60"/>
            </w:pPr>
            <w:r>
              <w:rPr>
                <w:b/>
                <w:i w:val="0"/>
                <w:sz w:val="22"/>
              </w:rPr>
              <w:t>Light</w:t>
            </w:r>
          </w:p>
        </w:tc>
        <w:tc>
          <w:tcPr>
            <w:tcW w:type="dxa" w:w="5083"/>
            <w:vAlign w:val="center"/>
            <w:shd w:fill="FFFFFF"/>
          </w:tcPr>
          <w:p>
            <w:pPr>
              <w:spacing w:after="60"/>
            </w:pPr>
            <w:r>
              <w:rPr>
                <w:b w:val="0"/>
                <w:i w:val="0"/>
                <w:sz w:val="22"/>
              </w:rPr>
              <w:t>Bright, indirect light; gentle early sun may improve color</w:t>
            </w:r>
          </w:p>
        </w:tc>
      </w:tr>
      <w:tr>
        <w:trPr>
          <w:cantSplit/>
        </w:trPr>
        <w:tc>
          <w:tcPr>
            <w:tcW w:type="dxa" w:w="5083"/>
            <w:vAlign w:val="center"/>
            <w:shd w:fill="FFFFFF"/>
          </w:tcPr>
          <w:p>
            <w:pPr>
              <w:spacing w:after="60"/>
            </w:pPr>
            <w:r>
              <w:rPr>
                <w:b/>
                <w:i w:val="0"/>
                <w:sz w:val="22"/>
              </w:rPr>
              <w:t>Water</w:t>
            </w:r>
          </w:p>
        </w:tc>
        <w:tc>
          <w:tcPr>
            <w:tcW w:type="dxa" w:w="5083"/>
            <w:vAlign w:val="center"/>
            <w:shd w:fill="FFFFFF"/>
          </w:tcPr>
          <w:p>
            <w:pPr>
              <w:spacing w:after="60"/>
            </w:pPr>
            <w:r>
              <w:rPr>
                <w:b w:val="0"/>
                <w:i w:val="0"/>
                <w:sz w:val="22"/>
              </w:rPr>
              <w:t>Moist but never soggy; let the surface begin to dry</w:t>
            </w:r>
          </w:p>
        </w:tc>
      </w:tr>
      <w:tr>
        <w:trPr>
          <w:cantSplit/>
        </w:trPr>
        <w:tc>
          <w:tcPr>
            <w:tcW w:type="dxa" w:w="5083"/>
            <w:vAlign w:val="center"/>
            <w:shd w:fill="FFFFFF"/>
          </w:tcPr>
          <w:p>
            <w:pPr>
              <w:spacing w:after="60"/>
            </w:pPr>
            <w:r>
              <w:rPr>
                <w:b/>
                <w:i w:val="0"/>
                <w:sz w:val="22"/>
              </w:rPr>
              <w:t>Temperature</w:t>
            </w:r>
          </w:p>
        </w:tc>
        <w:tc>
          <w:tcPr>
            <w:tcW w:type="dxa" w:w="5083"/>
            <w:vAlign w:val="center"/>
            <w:shd w:fill="FFFFFF"/>
          </w:tcPr>
          <w:p>
            <w:pPr>
              <w:spacing w:after="60"/>
            </w:pPr>
            <w:r>
              <w:rPr>
                <w:b w:val="0"/>
                <w:i w:val="0"/>
                <w:sz w:val="22"/>
              </w:rPr>
              <w:t>65–85°F preferred; protect below 55°F</w:t>
            </w:r>
          </w:p>
        </w:tc>
      </w:tr>
      <w:tr>
        <w:trPr>
          <w:cantSplit/>
        </w:trPr>
        <w:tc>
          <w:tcPr>
            <w:tcW w:type="dxa" w:w="5083"/>
            <w:vAlign w:val="center"/>
            <w:shd w:fill="FFFFFF"/>
          </w:tcPr>
          <w:p>
            <w:pPr>
              <w:spacing w:after="60"/>
            </w:pPr>
            <w:r>
              <w:rPr>
                <w:b/>
                <w:i w:val="0"/>
                <w:sz w:val="22"/>
              </w:rPr>
              <w:t>Humidity</w:t>
            </w:r>
          </w:p>
        </w:tc>
        <w:tc>
          <w:tcPr>
            <w:tcW w:type="dxa" w:w="5083"/>
            <w:vAlign w:val="center"/>
            <w:shd w:fill="FFFFFF"/>
          </w:tcPr>
          <w:p>
            <w:pPr>
              <w:spacing w:after="60"/>
            </w:pPr>
            <w:r>
              <w:rPr>
                <w:b w:val="0"/>
                <w:i w:val="0"/>
                <w:sz w:val="22"/>
              </w:rPr>
              <w:t>Moderate to high, with air movement</w:t>
            </w:r>
          </w:p>
        </w:tc>
      </w:tr>
      <w:tr>
        <w:trPr>
          <w:cantSplit/>
        </w:trPr>
        <w:tc>
          <w:tcPr>
            <w:tcW w:type="dxa" w:w="5083"/>
            <w:vAlign w:val="center"/>
            <w:shd w:fill="FFFFFF"/>
          </w:tcPr>
          <w:p>
            <w:pPr>
              <w:spacing w:after="60"/>
            </w:pPr>
            <w:r>
              <w:rPr>
                <w:b/>
                <w:i w:val="0"/>
                <w:sz w:val="22"/>
              </w:rPr>
              <w:t>Native to Lafayette area?</w:t>
            </w:r>
          </w:p>
        </w:tc>
        <w:tc>
          <w:tcPr>
            <w:tcW w:type="dxa" w:w="5083"/>
            <w:vAlign w:val="center"/>
            <w:shd w:fill="FFFFFF"/>
          </w:tcPr>
          <w:p>
            <w:pPr>
              <w:spacing w:after="60"/>
            </w:pPr>
            <w:r>
              <w:rPr>
                <w:b w:val="0"/>
                <w:i w:val="0"/>
                <w:sz w:val="22"/>
              </w:rPr>
              <w:t>No — tropical Brazil</w:t>
            </w:r>
          </w:p>
        </w:tc>
      </w:tr>
      <w:tr>
        <w:trPr>
          <w:cantSplit/>
        </w:trPr>
        <w:tc>
          <w:tcPr>
            <w:tcW w:type="dxa" w:w="5083"/>
            <w:vAlign w:val="center"/>
            <w:shd w:fill="FFFFFF"/>
          </w:tcPr>
          <w:p>
            <w:pPr>
              <w:spacing w:after="60"/>
            </w:pPr>
            <w:r>
              <w:rPr>
                <w:b/>
                <w:i w:val="0"/>
                <w:sz w:val="22"/>
              </w:rPr>
              <w:t>Native to the United States?</w:t>
            </w:r>
          </w:p>
        </w:tc>
        <w:tc>
          <w:tcPr>
            <w:tcW w:type="dxa" w:w="5083"/>
            <w:vAlign w:val="center"/>
            <w:shd w:fill="FFFFFF"/>
          </w:tcPr>
          <w:p>
            <w:pPr>
              <w:spacing w:after="60"/>
            </w:pPr>
            <w:r>
              <w:rPr>
                <w:b w:val="0"/>
                <w:i w:val="0"/>
                <w:sz w:val="22"/>
              </w:rPr>
              <w:t>No</w:t>
            </w:r>
          </w:p>
        </w:tc>
      </w:tr>
      <w:tr>
        <w:trPr>
          <w:cantSplit/>
        </w:trPr>
        <w:tc>
          <w:tcPr>
            <w:tcW w:type="dxa" w:w="5083"/>
            <w:vAlign w:val="center"/>
            <w:shd w:fill="FFFFFF"/>
          </w:tcPr>
          <w:p>
            <w:pPr>
              <w:spacing w:after="60"/>
            </w:pPr>
            <w:r>
              <w:rPr>
                <w:b/>
                <w:i w:val="0"/>
                <w:sz w:val="22"/>
              </w:rPr>
              <w:t>Invasive?</w:t>
            </w:r>
          </w:p>
        </w:tc>
        <w:tc>
          <w:tcPr>
            <w:tcW w:type="dxa" w:w="5083"/>
            <w:vAlign w:val="center"/>
            <w:shd w:fill="FFFFFF"/>
          </w:tcPr>
          <w:p>
            <w:pPr>
              <w:spacing w:after="60"/>
            </w:pPr>
            <w:r>
              <w:rPr>
                <w:b w:val="0"/>
                <w:i w:val="0"/>
                <w:sz w:val="22"/>
              </w:rPr>
              <w:t>No known invasive concern indoors in Indiana</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Rare indoors; spreads mainly by offsets (pups)</w:t>
            </w:r>
          </w:p>
        </w:tc>
      </w:tr>
      <w:tr>
        <w:trPr>
          <w:cantSplit/>
        </w:trPr>
        <w:tc>
          <w:tcPr>
            <w:tcW w:type="dxa" w:w="5083"/>
            <w:vAlign w:val="center"/>
            <w:shd w:fill="FFFFFF"/>
          </w:tcPr>
          <w:p>
            <w:pPr>
              <w:spacing w:after="60"/>
            </w:pPr>
            <w:r>
              <w:rPr>
                <w:b/>
                <w:i w:val="0"/>
                <w:sz w:val="22"/>
              </w:rPr>
              <w:t>Edibility</w:t>
            </w:r>
          </w:p>
        </w:tc>
        <w:tc>
          <w:tcPr>
            <w:tcW w:type="dxa" w:w="5083"/>
            <w:vAlign w:val="center"/>
            <w:shd w:fill="FFFFFF"/>
          </w:tcPr>
          <w:p>
            <w:pPr>
              <w:spacing w:after="60"/>
            </w:pPr>
            <w:r>
              <w:rPr>
                <w:b w:val="0"/>
                <w:i w:val="0"/>
                <w:sz w:val="22"/>
              </w:rPr>
              <w:t>Not considered edible</w:t>
            </w:r>
          </w:p>
        </w:tc>
      </w:tr>
      <w:tr>
        <w:trPr>
          <w:cantSplit/>
        </w:trPr>
        <w:tc>
          <w:tcPr>
            <w:tcW w:type="dxa" w:w="5083"/>
            <w:vAlign w:val="center"/>
            <w:shd w:fill="FFFFFF"/>
          </w:tcPr>
          <w:p>
            <w:pPr>
              <w:spacing w:after="60"/>
            </w:pPr>
            <w:r>
              <w:rPr>
                <w:b/>
                <w:i w:val="0"/>
                <w:sz w:val="22"/>
              </w:rPr>
              <w:t>Pet safety</w:t>
            </w:r>
          </w:p>
        </w:tc>
        <w:tc>
          <w:tcPr>
            <w:tcW w:type="dxa" w:w="5083"/>
            <w:vAlign w:val="center"/>
            <w:shd w:fill="FFFFFF"/>
          </w:tcPr>
          <w:p>
            <w:pPr>
              <w:spacing w:after="60"/>
            </w:pPr>
            <w:r>
              <w:rPr>
                <w:b w:val="0"/>
                <w:i w:val="0"/>
                <w:sz w:val="22"/>
              </w:rPr>
              <w:t>Generally listed as non-toxic, but sharp leaf edges and chewing may irritate</w:t>
            </w:r>
          </w:p>
        </w:tc>
      </w:tr>
    </w:tbl>
    <w:p>
      <w:pPr>
        <w:spacing w:after="20"/>
      </w:pPr>
    </w:p>
    <w:p>
      <w:pPr>
        <w:pStyle w:val="Heading2"/>
      </w:pPr>
      <w:r>
        <w:t>What Makes an Earth Star Different?</w:t>
      </w:r>
    </w:p>
    <w:p>
      <w:r>
        <w:rPr>
          <w:b w:val="0"/>
          <w:i w:val="0"/>
        </w:rPr>
        <w:t>Unlike many bromeliads that live on trees and hold water in a central “tank,” Cryptanthus are terrestrial: their roots and potting mix matter. Their flattened rosettes hug the soil, and their color comes mostly from patterned foliage rather than showy flowers.</w:t>
      </w:r>
    </w:p>
    <w:p>
      <w:pPr>
        <w:pStyle w:val="Heading2"/>
      </w:pPr>
      <w:r>
        <w:t>Light and Color</w:t>
      </w:r>
    </w:p>
    <w:p>
      <w:pPr>
        <w:pStyle w:val="ListBullet"/>
      </w:pPr>
      <w:r>
        <w:rPr>
          <w:b w:val="0"/>
          <w:i w:val="0"/>
        </w:rPr>
        <w:t>Give bright, filtered light near an east window or set back from a brighter south or west window.</w:t>
      </w:r>
    </w:p>
    <w:p>
      <w:pPr>
        <w:pStyle w:val="ListBullet"/>
      </w:pPr>
      <w:r>
        <w:rPr>
          <w:b w:val="0"/>
          <w:i w:val="0"/>
        </w:rPr>
        <w:t>Too little light: growth loosens, color fades toward green, and the plant may lean.</w:t>
      </w:r>
    </w:p>
    <w:p>
      <w:pPr>
        <w:pStyle w:val="ListBullet"/>
      </w:pPr>
      <w:r>
        <w:rPr>
          <w:b w:val="0"/>
          <w:i w:val="0"/>
        </w:rPr>
        <w:t>Too much direct sun: leaves bleach, scorch, or develop dry tan patches.</w:t>
      </w:r>
    </w:p>
    <w:p>
      <w:pPr>
        <w:pStyle w:val="ListBullet"/>
      </w:pPr>
      <w:r>
        <w:rPr>
          <w:b w:val="0"/>
          <w:i w:val="0"/>
        </w:rPr>
        <w:t>Move a plant gradually when increasing light; cultivars differ in tolerance.</w:t>
      </w:r>
    </w:p>
    <w:p>
      <w:pPr>
        <w:pStyle w:val="Heading2"/>
      </w:pPr>
      <w:r>
        <w:t>Watering</w:t>
      </w:r>
    </w:p>
    <w:p>
      <w:pPr>
        <w:pStyle w:val="ListBullet"/>
      </w:pPr>
      <w:r>
        <w:rPr>
          <w:b w:val="0"/>
          <w:i w:val="0"/>
        </w:rPr>
        <w:t>Check the potting mix with a finger. Water when the upper 1/2–1 inch is beginning to dry.</w:t>
      </w:r>
    </w:p>
    <w:p>
      <w:pPr>
        <w:pStyle w:val="ListBullet"/>
      </w:pPr>
      <w:r>
        <w:rPr>
          <w:b w:val="0"/>
          <w:i w:val="0"/>
        </w:rPr>
        <w:t>Water the soil thoroughly, then let excess drain. Never leave the pot standing in water.</w:t>
      </w:r>
    </w:p>
    <w:p>
      <w:pPr>
        <w:pStyle w:val="ListBullet"/>
      </w:pPr>
      <w:r>
        <w:rPr>
          <w:b w:val="0"/>
          <w:i w:val="0"/>
        </w:rPr>
        <w:t>Do not treat it like a tank bromeliad. Avoid keeping water trapped in the center, especially in cool conditions.</w:t>
      </w:r>
    </w:p>
    <w:p>
      <w:pPr>
        <w:pStyle w:val="ListBullet"/>
      </w:pPr>
      <w:r>
        <w:rPr>
          <w:b w:val="0"/>
          <w:i w:val="0"/>
        </w:rPr>
        <w:t>Use room-temperature rainwater, distilled water, or low-mineral water if leaf tips repeatedly brown.</w:t>
      </w:r>
    </w:p>
    <w:p>
      <w:pPr>
        <w:pStyle w:val="Heading2"/>
      </w:pPr>
      <w:r>
        <w:t>Flowering and Life Cycle</w:t>
      </w:r>
    </w:p>
    <w:p>
      <w:r>
        <w:rPr>
          <w:b w:val="0"/>
          <w:i w:val="0"/>
        </w:rPr>
        <w:t>A mature rosette flowers once. The flowers are small—usually white—and appear low in the center. After flowering, the mother rosette slowly declines while producing pups. This is normal, not a failure of care. Keep the parent until the pups are well established.</w:t>
      </w:r>
    </w:p>
    <w:p>
      <w:pPr>
        <w:pStyle w:val="Heading2"/>
      </w:pPr>
      <w:r>
        <w:t>Potting Mix and Container</w:t>
      </w:r>
    </w:p>
    <w:p>
      <w:r>
        <w:rPr>
          <w:b w:val="0"/>
          <w:i w:val="0"/>
        </w:rPr>
        <w:t>Use a shallow pot with drainage holes. A practical, airy mix is:</w:t>
      </w:r>
    </w:p>
    <w:p>
      <w:pPr>
        <w:pStyle w:val="ListBullet"/>
      </w:pPr>
      <w:r>
        <w:rPr>
          <w:b w:val="0"/>
          <w:i w:val="0"/>
        </w:rPr>
        <w:t>2 parts fine pine bark</w:t>
      </w:r>
    </w:p>
    <w:p>
      <w:pPr>
        <w:pStyle w:val="ListBullet"/>
      </w:pPr>
      <w:r>
        <w:rPr>
          <w:b w:val="0"/>
          <w:i w:val="0"/>
        </w:rPr>
        <w:t>1 part coco coir or peat-based potting medium</w:t>
      </w:r>
    </w:p>
    <w:p>
      <w:pPr>
        <w:pStyle w:val="ListBullet"/>
      </w:pPr>
      <w:r>
        <w:rPr>
          <w:b w:val="0"/>
          <w:i w:val="0"/>
        </w:rPr>
        <w:t>1 part perlite or pumice</w:t>
      </w:r>
    </w:p>
    <w:p>
      <w:r>
        <w:rPr>
          <w:b w:val="0"/>
          <w:i w:val="0"/>
        </w:rPr>
        <w:t>The mix should hold some moisture but drain rapidly. Repot only when crowded or when the medium has broken down—usually every 1–2 years. Keep the crown at soil level; burying it invites rot.</w:t>
      </w:r>
    </w:p>
    <w:p>
      <w:pPr>
        <w:pStyle w:val="Heading2"/>
      </w:pPr>
      <w:r>
        <w:t>Temperature, Humidity, and Air</w:t>
      </w:r>
    </w:p>
    <w:p>
      <w:pPr>
        <w:pStyle w:val="ListBullet"/>
      </w:pPr>
      <w:r>
        <w:rPr>
          <w:b w:val="0"/>
          <w:i w:val="0"/>
        </w:rPr>
        <w:t>Best growth: 65–85°F. Keep away from cold glass, heating vents, and air-conditioner drafts.</w:t>
      </w:r>
    </w:p>
    <w:p>
      <w:pPr>
        <w:pStyle w:val="ListBullet"/>
      </w:pPr>
      <w:r>
        <w:rPr>
          <w:b w:val="0"/>
          <w:i w:val="0"/>
        </w:rPr>
        <w:t>Aim for 50–70% relative humidity when practical. A humidifier is more effective than misting.</w:t>
      </w:r>
    </w:p>
    <w:p>
      <w:pPr>
        <w:pStyle w:val="ListBullet"/>
      </w:pPr>
      <w:r>
        <w:rPr>
          <w:b w:val="0"/>
          <w:i w:val="0"/>
        </w:rPr>
        <w:t>Good air circulation matters. Constant wetness plus still air encourages crown and root rot.</w:t>
      </w:r>
    </w:p>
    <w:p>
      <w:pPr>
        <w:pStyle w:val="Heading2"/>
      </w:pPr>
      <w:r>
        <w:t>Fertilizer</w:t>
      </w:r>
    </w:p>
    <w:p>
      <w:r>
        <w:rPr>
          <w:b w:val="0"/>
          <w:i w:val="0"/>
        </w:rPr>
        <w:t>Feed lightly in spring and summer with a balanced houseplant fertilizer diluted to one-quarter strength, about monthly. Apply to moist soil. Too much fertilizer can burn roots, dull foliage, and leave salt deposits. Flush the pot with plain water occasionally. The label is the law.</w:t>
      </w:r>
    </w:p>
    <w:p>
      <w:pPr>
        <w:pStyle w:val="Heading2"/>
      </w:pPr>
      <w:r>
        <w:t>Propagation by Pups</w:t>
      </w:r>
    </w:p>
    <w:p>
      <w:pPr>
        <w:pStyle w:val="ListBullet"/>
      </w:pPr>
      <w:r>
        <w:rPr>
          <w:b w:val="0"/>
          <w:i w:val="0"/>
        </w:rPr>
        <w:t>Wait until a pup is at least one-third—preferably one-half—the size of the mother rosette.</w:t>
      </w:r>
    </w:p>
    <w:p>
      <w:pPr>
        <w:pStyle w:val="ListBullet"/>
      </w:pPr>
      <w:r>
        <w:rPr>
          <w:b w:val="0"/>
          <w:i w:val="0"/>
        </w:rPr>
        <w:t>Use a clean knife to separate it with any attached roots, or leave the cluster intact for a fuller plant.</w:t>
      </w:r>
    </w:p>
    <w:p>
      <w:pPr>
        <w:pStyle w:val="ListBullet"/>
      </w:pPr>
      <w:r>
        <w:rPr>
          <w:b w:val="0"/>
          <w:i w:val="0"/>
        </w:rPr>
        <w:t>Pot shallowly in lightly moist mix. Keep warm, humid, and in bright indirect light while roots establish.</w:t>
      </w:r>
    </w:p>
    <w:p>
      <w:pPr>
        <w:pStyle w:val="ListBullet"/>
      </w:pPr>
      <w:r>
        <w:rPr>
          <w:b w:val="0"/>
          <w:i w:val="0"/>
        </w:rPr>
        <w:t>Do not overwater a newly separated, weakly rooted pup.</w:t>
      </w:r>
    </w:p>
    <w:p>
      <w:r>
        <w:rPr>
          <w:b/>
          <w:i w:val="0"/>
        </w:rPr>
        <w:t xml:space="preserve">Seed germination and light: </w:t>
      </w:r>
      <w:r>
        <w:t>Surface sow fresh seeds without a soil covering. Use a clear cover to retain humidity. The RHS recommends uncovered sowing for bromeliads; this is practical sowing guidance, not proof that every species requires light. Confirm the species-specific protocol, especially for Cryptanthus and air plants.</w:t>
      </w:r>
    </w:p>
    <w:p>
      <w:r>
        <w:rPr>
          <w:b w:val="0"/>
          <w:i w:val="0"/>
        </w:rPr>
        <w:t xml:space="preserve">Germination source: </w:t>
      </w:r>
      <w:hyperlink r:id="rId12">
        <w:r>
          <w:rPr>
            <w:color w:val="245B43"/>
            <w:u w:val="single"/>
          </w:rPr>
          <w:t>Royal Horticultural Society, How to grow bromeliads, Growing from seed</w:t>
        </w:r>
      </w:hyperlink>
      <w:r>
        <w:t>. Checked 2026-09-21.</w:t>
      </w:r>
    </w:p>
    <w:p>
      <w:pPr>
        <w:pStyle w:val="Heading2"/>
      </w:pPr>
      <w:r>
        <w:t>Troubleshooting</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What you see</w:t>
            </w:r>
          </w:p>
        </w:tc>
        <w:tc>
          <w:tcPr>
            <w:tcW w:type="dxa" w:w="5083"/>
            <w:vAlign w:val="center"/>
            <w:shd w:fill="E9EDF0"/>
          </w:tcPr>
          <w:p>
            <w:pPr>
              <w:spacing w:after="60"/>
            </w:pPr>
            <w:r>
              <w:rPr>
                <w:b/>
                <w:i w:val="0"/>
                <w:sz w:val="22"/>
              </w:rPr>
              <w:t>Likely cause and response</w:t>
            </w:r>
          </w:p>
        </w:tc>
      </w:tr>
      <w:tr>
        <w:trPr>
          <w:cantSplit/>
        </w:trPr>
        <w:tc>
          <w:tcPr>
            <w:tcW w:type="dxa" w:w="5083"/>
            <w:vAlign w:val="center"/>
            <w:shd w:fill="FFFFFF"/>
          </w:tcPr>
          <w:p>
            <w:pPr>
              <w:spacing w:after="60"/>
            </w:pPr>
            <w:r>
              <w:rPr>
                <w:b/>
                <w:i w:val="0"/>
                <w:sz w:val="22"/>
              </w:rPr>
              <w:t>Soft center; foul smell; collapsing leaves</w:t>
            </w:r>
          </w:p>
        </w:tc>
        <w:tc>
          <w:tcPr>
            <w:tcW w:type="dxa" w:w="5083"/>
            <w:vAlign w:val="center"/>
            <w:shd w:fill="FFFFFF"/>
          </w:tcPr>
          <w:p>
            <w:pPr>
              <w:spacing w:after="60"/>
            </w:pPr>
            <w:r>
              <w:rPr>
                <w:b w:val="0"/>
                <w:i w:val="0"/>
                <w:sz w:val="22"/>
              </w:rPr>
              <w:t>Crown or root rot from wet soil, buried crown, cold, or poor airflow. Remove rotten tissue, correct conditions, and save healthy pups.</w:t>
            </w:r>
          </w:p>
        </w:tc>
      </w:tr>
      <w:tr>
        <w:trPr>
          <w:cantSplit/>
        </w:trPr>
        <w:tc>
          <w:tcPr>
            <w:tcW w:type="dxa" w:w="5083"/>
            <w:vAlign w:val="center"/>
            <w:shd w:fill="FFFFFF"/>
          </w:tcPr>
          <w:p>
            <w:pPr>
              <w:spacing w:after="60"/>
            </w:pPr>
            <w:r>
              <w:rPr>
                <w:b/>
                <w:i w:val="0"/>
                <w:sz w:val="22"/>
              </w:rPr>
              <w:t>Brown, crispy tips</w:t>
            </w:r>
          </w:p>
        </w:tc>
        <w:tc>
          <w:tcPr>
            <w:tcW w:type="dxa" w:w="5083"/>
            <w:vAlign w:val="center"/>
            <w:shd w:fill="FFFFFF"/>
          </w:tcPr>
          <w:p>
            <w:pPr>
              <w:spacing w:after="60"/>
            </w:pPr>
            <w:r>
              <w:rPr>
                <w:b w:val="0"/>
                <w:i w:val="0"/>
                <w:sz w:val="22"/>
              </w:rPr>
              <w:t>Dry air, uneven watering, salt buildup, or mineral-heavy water. Improve consistency and flush the mix.</w:t>
            </w:r>
          </w:p>
        </w:tc>
      </w:tr>
      <w:tr>
        <w:trPr>
          <w:cantSplit/>
        </w:trPr>
        <w:tc>
          <w:tcPr>
            <w:tcW w:type="dxa" w:w="5083"/>
            <w:vAlign w:val="center"/>
            <w:shd w:fill="FFFFFF"/>
          </w:tcPr>
          <w:p>
            <w:pPr>
              <w:spacing w:after="60"/>
            </w:pPr>
            <w:r>
              <w:rPr>
                <w:b/>
                <w:i w:val="0"/>
                <w:sz w:val="22"/>
              </w:rPr>
              <w:t>Faded green color</w:t>
            </w:r>
          </w:p>
        </w:tc>
        <w:tc>
          <w:tcPr>
            <w:tcW w:type="dxa" w:w="5083"/>
            <w:vAlign w:val="center"/>
            <w:shd w:fill="FFFFFF"/>
          </w:tcPr>
          <w:p>
            <w:pPr>
              <w:spacing w:after="60"/>
            </w:pPr>
            <w:r>
              <w:rPr>
                <w:b w:val="0"/>
                <w:i w:val="0"/>
                <w:sz w:val="22"/>
              </w:rPr>
              <w:t>Often too little light. Increase filtered light gradually.</w:t>
            </w:r>
          </w:p>
        </w:tc>
      </w:tr>
      <w:tr>
        <w:trPr>
          <w:cantSplit/>
        </w:trPr>
        <w:tc>
          <w:tcPr>
            <w:tcW w:type="dxa" w:w="5083"/>
            <w:vAlign w:val="center"/>
            <w:shd w:fill="FFFFFF"/>
          </w:tcPr>
          <w:p>
            <w:pPr>
              <w:spacing w:after="60"/>
            </w:pPr>
            <w:r>
              <w:rPr>
                <w:b/>
                <w:i w:val="0"/>
                <w:sz w:val="22"/>
              </w:rPr>
              <w:t>Bleached or tan patches</w:t>
            </w:r>
          </w:p>
        </w:tc>
        <w:tc>
          <w:tcPr>
            <w:tcW w:type="dxa" w:w="5083"/>
            <w:vAlign w:val="center"/>
            <w:shd w:fill="FFFFFF"/>
          </w:tcPr>
          <w:p>
            <w:pPr>
              <w:spacing w:after="60"/>
            </w:pPr>
            <w:r>
              <w:rPr>
                <w:b w:val="0"/>
                <w:i w:val="0"/>
                <w:sz w:val="22"/>
              </w:rPr>
              <w:t>Sun scorch. Move out of harsh direct sun.</w:t>
            </w:r>
          </w:p>
        </w:tc>
      </w:tr>
      <w:tr>
        <w:trPr>
          <w:cantSplit/>
        </w:trPr>
        <w:tc>
          <w:tcPr>
            <w:tcW w:type="dxa" w:w="5083"/>
            <w:vAlign w:val="center"/>
            <w:shd w:fill="FFFFFF"/>
          </w:tcPr>
          <w:p>
            <w:pPr>
              <w:spacing w:after="60"/>
            </w:pPr>
            <w:r>
              <w:rPr>
                <w:b/>
                <w:i w:val="0"/>
                <w:sz w:val="22"/>
              </w:rPr>
              <w:t>Wrinkled or curling leaves</w:t>
            </w:r>
          </w:p>
        </w:tc>
        <w:tc>
          <w:tcPr>
            <w:tcW w:type="dxa" w:w="5083"/>
            <w:vAlign w:val="center"/>
            <w:shd w:fill="FFFFFF"/>
          </w:tcPr>
          <w:p>
            <w:pPr>
              <w:spacing w:after="60"/>
            </w:pPr>
            <w:r>
              <w:rPr>
                <w:b w:val="0"/>
                <w:i w:val="0"/>
                <w:sz w:val="22"/>
              </w:rPr>
              <w:t>Plant may be too dry or roots may be damaged. Inspect the mix and roots before adding more water.</w:t>
            </w:r>
          </w:p>
        </w:tc>
      </w:tr>
      <w:tr>
        <w:trPr>
          <w:cantSplit/>
        </w:trPr>
        <w:tc>
          <w:tcPr>
            <w:tcW w:type="dxa" w:w="5083"/>
            <w:vAlign w:val="center"/>
            <w:shd w:fill="FFFFFF"/>
          </w:tcPr>
          <w:p>
            <w:pPr>
              <w:spacing w:after="60"/>
            </w:pPr>
            <w:r>
              <w:rPr>
                <w:b/>
                <w:i w:val="0"/>
                <w:sz w:val="22"/>
              </w:rPr>
              <w:t>White cottony clusters</w:t>
            </w:r>
          </w:p>
        </w:tc>
        <w:tc>
          <w:tcPr>
            <w:tcW w:type="dxa" w:w="5083"/>
            <w:vAlign w:val="center"/>
            <w:shd w:fill="FFFFFF"/>
          </w:tcPr>
          <w:p>
            <w:pPr>
              <w:spacing w:after="60"/>
            </w:pPr>
            <w:r>
              <w:rPr>
                <w:b w:val="0"/>
                <w:i w:val="0"/>
                <w:sz w:val="22"/>
              </w:rPr>
              <w:t>Mealybugs. Isolate the plant; dab pests with 70% isopropyl alcohol and repeat weekly as needed.</w:t>
            </w:r>
          </w:p>
        </w:tc>
      </w:tr>
      <w:tr>
        <w:trPr>
          <w:cantSplit/>
        </w:trPr>
        <w:tc>
          <w:tcPr>
            <w:tcW w:type="dxa" w:w="5083"/>
            <w:vAlign w:val="center"/>
            <w:shd w:fill="FFFFFF"/>
          </w:tcPr>
          <w:p>
            <w:pPr>
              <w:spacing w:after="60"/>
            </w:pPr>
            <w:r>
              <w:rPr>
                <w:b/>
                <w:i w:val="0"/>
                <w:sz w:val="22"/>
              </w:rPr>
              <w:t>Fine stippling or webbing</w:t>
            </w:r>
          </w:p>
        </w:tc>
        <w:tc>
          <w:tcPr>
            <w:tcW w:type="dxa" w:w="5083"/>
            <w:vAlign w:val="center"/>
            <w:shd w:fill="FFFFFF"/>
          </w:tcPr>
          <w:p>
            <w:pPr>
              <w:spacing w:after="60"/>
            </w:pPr>
            <w:r>
              <w:rPr>
                <w:b w:val="0"/>
                <w:i w:val="0"/>
                <w:sz w:val="22"/>
              </w:rPr>
              <w:t>Spider mites, favored by warm dry air. Isolate, rinse foliage, and treat repeatedly with an appropriate labeled product.</w:t>
            </w:r>
          </w:p>
        </w:tc>
      </w:tr>
      <w:tr>
        <w:trPr>
          <w:cantSplit/>
        </w:trPr>
        <w:tc>
          <w:tcPr>
            <w:tcW w:type="dxa" w:w="5083"/>
            <w:vAlign w:val="center"/>
            <w:shd w:fill="FFFFFF"/>
          </w:tcPr>
          <w:p>
            <w:pPr>
              <w:spacing w:after="60"/>
            </w:pPr>
            <w:r>
              <w:rPr>
                <w:b/>
                <w:i w:val="0"/>
                <w:sz w:val="22"/>
              </w:rPr>
              <w:t>Mother plant declining after bloom</w:t>
            </w:r>
          </w:p>
        </w:tc>
        <w:tc>
          <w:tcPr>
            <w:tcW w:type="dxa" w:w="5083"/>
            <w:vAlign w:val="center"/>
            <w:shd w:fill="FFFFFF"/>
          </w:tcPr>
          <w:p>
            <w:pPr>
              <w:spacing w:after="60"/>
            </w:pPr>
            <w:r>
              <w:rPr>
                <w:b w:val="0"/>
                <w:i w:val="0"/>
                <w:sz w:val="22"/>
              </w:rPr>
              <w:t>Normal monocarpic life cycle. Continue care while pups grow.</w:t>
            </w:r>
          </w:p>
        </w:tc>
      </w:tr>
    </w:tbl>
    <w:p>
      <w:pPr>
        <w:spacing w:after="20"/>
      </w:pPr>
    </w:p>
    <w:p>
      <w:pPr>
        <w:pStyle w:val="Heading2"/>
      </w:pPr>
      <w:r>
        <w:t>Indoor Safety</w:t>
      </w:r>
    </w:p>
    <w:p>
      <w:r>
        <w:rPr>
          <w:b w:val="0"/>
          <w:i w:val="0"/>
        </w:rPr>
        <w:t>Earth stars are not generally regarded as poisonous to people, cats, or dogs. Still, they are not food. Leaf margins can be toothed or sharp, and chewed plant material may cause minor mouth or stomach irritation. Keep the plant away from curious pets and small children.</w:t>
      </w:r>
    </w:p>
    <w:p>
      <w:pPr>
        <w:pStyle w:val="Heading2"/>
      </w:pPr>
      <w:r>
        <w:t>Key Takeaway</w:t>
      </w:r>
    </w:p>
    <w:p>
      <w:r>
        <w:rPr>
          <w:b/>
          <w:i w:val="0"/>
        </w:rPr>
        <w:t xml:space="preserve">Think “bright, warm forest floor”: </w:t>
      </w:r>
      <w:r>
        <w:t>filtered light, airy soil, steady but restrained moisture, humidity, and good air movement.</w:t>
      </w:r>
    </w:p>
    <w:p>
      <w:pPr>
        <w:pStyle w:val="Heading2"/>
      </w:pPr>
      <w:r>
        <w:t>References</w:t>
      </w:r>
    </w:p>
    <w:p>
      <w:pPr>
        <w:pStyle w:val="ListBullet"/>
      </w:pPr>
      <w:r>
        <w:rPr>
          <w:b w:val="0"/>
          <w:i w:val="0"/>
        </w:rPr>
        <w:t>Bromeliad Society International. Cryptanthus cultivation resources.</w:t>
      </w:r>
    </w:p>
    <w:p>
      <w:pPr>
        <w:pStyle w:val="ListBullet"/>
      </w:pPr>
      <w:r>
        <w:rPr>
          <w:b w:val="0"/>
          <w:i w:val="0"/>
        </w:rPr>
        <w:t>Royal Botanic Gardens, Kew. Plants of the World Online: Cryptanthus.</w:t>
      </w:r>
    </w:p>
    <w:p>
      <w:pPr>
        <w:pStyle w:val="ListBullet"/>
      </w:pPr>
      <w:r>
        <w:rPr>
          <w:b w:val="0"/>
          <w:i w:val="0"/>
        </w:rPr>
        <w:t>North Carolina Extension Gardener Plant Toolbox. Bromeliaceae and houseplant-care guidance.</w:t>
      </w:r>
    </w:p>
    <w:p>
      <w:pPr>
        <w:pStyle w:val="ListBullet"/>
      </w:pPr>
      <w:r>
        <w:rPr>
          <w:b w:val="0"/>
          <w:i w:val="0"/>
        </w:rPr>
        <w:t>University of Florida IFAS Extension. Bromeliad culture and indoor care guidance.</w:t>
      </w:r>
    </w:p>
    <w:p>
      <w:r>
        <w:rPr>
          <w:b w:val="0"/>
          <w:i w:val="0"/>
        </w:rPr>
        <w:t xml:space="preserve">Added September 22, 2026 · </w:t>
      </w:r>
      <w:hyperlink r:id="rId1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earth-stars/" TargetMode="External"/><Relationship Id="rId12" Type="http://schemas.openxmlformats.org/officeDocument/2006/relationships/hyperlink" Target="https://www.rhs.org.uk/plants/bromeliads/growing-guide" TargetMode="External"/><Relationship Id="rId13" Type="http://schemas.openxmlformats.org/officeDocument/2006/relationships/hyperlink" Target="https://planteducationproject.com/information-sheets/master-index/" TargetMode="External"/><Relationship Id="rId14"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earth stars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