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Chinese Evergreen</w:t>
      </w:r>
    </w:p>
    <w:p>
      <w:pPr>
        <w:spacing w:after="320"/>
      </w:pPr>
      <w:r>
        <w:t>Combined Information Sheets</w:t>
      </w:r>
    </w:p>
    <w:p>
      <w:pPr>
        <w:pStyle w:val="Heading1"/>
      </w:pPr>
      <w:r>
        <w:t>Chinese Evergreen</w:t>
      </w:r>
    </w:p>
    <w:p>
      <w:r>
        <w:rPr>
          <w:b/>
        </w:rPr>
        <w:t xml:space="preserve">Online Information Sheet: </w:t>
      </w:r>
      <w:hyperlink r:id="rId11">
        <w:r>
          <w:rPr>
            <w:color w:val="245B43"/>
            <w:u w:val="single"/>
          </w:rPr>
          <w:t>planteducationproject.com/chinese-evergreen/</w:t>
        </w:r>
      </w:hyperlink>
    </w:p>
    <w:p>
      <w:r>
        <w:rPr>
          <w:b w:val="0"/>
          <w:i w:val="0"/>
        </w:rPr>
        <w:t>🌿 Plant Information Sheet</w:t>
      </w:r>
    </w:p>
    <w:p>
      <w:pPr>
        <w:jc w:val="center"/>
      </w:pPr>
      <w:r>
        <w:drawing>
          <wp:inline xmlns:a="http://schemas.openxmlformats.org/drawingml/2006/main" xmlns:pic="http://schemas.openxmlformats.org/drawingml/2006/picture">
            <wp:extent cx="5120640" cy="3850481"/>
            <wp:docPr id="1" name="Picture 1"/>
            <wp:cNvGraphicFramePr>
              <a:graphicFrameLocks noChangeAspect="1"/>
            </wp:cNvGraphicFramePr>
            <a:graphic>
              <a:graphicData uri="http://schemas.openxmlformats.org/drawingml/2006/picture">
                <pic:pic>
                  <pic:nvPicPr>
                    <pic:cNvPr id="0" name="0a46173f2e3e97327b5857fe.jpg"/>
                    <pic:cNvPicPr/>
                  </pic:nvPicPr>
                  <pic:blipFill>
                    <a:blip r:embed="rId12"/>
                    <a:stretch>
                      <a:fillRect/>
                    </a:stretch>
                  </pic:blipFill>
                  <pic:spPr>
                    <a:xfrm>
                      <a:off x="0" y="0"/>
                      <a:ext cx="5120640" cy="3850481"/>
                    </a:xfrm>
                    <a:prstGeom prst="rect"/>
                  </pic:spPr>
                </pic:pic>
              </a:graphicData>
            </a:graphic>
          </wp:inline>
        </w:drawing>
      </w:r>
    </w:p>
    <w:p>
      <w:pPr>
        <w:pStyle w:val="Caption"/>
      </w:pPr>
      <w:r>
        <w:rPr>
          <w:b w:val="0"/>
          <w:i w:val="0"/>
        </w:rPr>
        <w:t>Aglaonema nitidum growing in the ground. Location is not verified; this is an identification view. Photo: Bernard DUPONT; CC-BY-SA 2.0; source. Unmodified.</w:t>
      </w:r>
      <w:r>
        <w:br/>
      </w:r>
      <w:r>
        <w:t xml:space="preserve">Photograph: Bernard DUPONT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r>
        <w:rPr>
          <w:b w:val="0"/>
          <w:i w:val="0"/>
        </w:rPr>
        <w:t>Chinese evergreens are tropical foliage plants with substantial differences among species and cultivars. Identify a plant’s cultivar when possible, especially when judging color, size, and light needs.</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the genus is native to tropical and subtropical Asia through parts of the western Pacific.</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grown indoors or seasonally in containers.</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Not assessed for every species in this genus-level sheet. Do not release plants in frost-free habitats.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indoors; flowering and fruit do not guarantee viable seedlings.</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 poisonous if chewed.</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Calcium oxalate crystals can cause intense mouth irritation. Keep away from children and pets; avoid sap contact.</w:t>
            </w:r>
          </w:p>
        </w:tc>
      </w:tr>
    </w:tbl>
    <w:p>
      <w:pPr>
        <w:spacing w:after="20"/>
      </w:pPr>
    </w:p>
    <w:p>
      <w:pPr>
        <w:pStyle w:val="Heading2"/>
      </w:pPr>
      <w:r>
        <w:t>Light and growing conditions</w:t>
      </w:r>
    </w:p>
    <w:p>
      <w:r>
        <w:rPr>
          <w:b w:val="0"/>
          <w:i w:val="0"/>
        </w:rPr>
        <w:t>Use filtered light. Green cultivars tolerate lower light, but tolerance does not mean vigorous growth in darkness. Protect from direct hot sun and temperatures below about 55°F (13°C).</w:t>
      </w:r>
    </w:p>
    <w:p>
      <w:pPr>
        <w:pStyle w:val="Heading2"/>
      </w:pPr>
      <w:r>
        <w:t>Standard potting mix</w:t>
      </w:r>
    </w:p>
    <w:p>
      <w:r>
        <w:rPr>
          <w:b w:val="0"/>
          <w:i w:val="0"/>
        </w:rPr>
        <w:t>Use Standard Tropical Foliage Mix: 1 part generic potting soil and 1 part coarse perlite by volume. This approved formula contains no added bark or coir. Lightly moisten dusty material and blend without packing. Use an open drainage hole and no gravel layer. Keep the crown at its original depth.</w:t>
      </w:r>
    </w:p>
    <w:p>
      <w:pPr>
        <w:pStyle w:val="Heading2"/>
      </w:pPr>
      <w:r>
        <w:t>Water and feeding</w:t>
      </w:r>
    </w:p>
    <w:p>
      <w:r>
        <w:rPr>
          <w:b w:val="0"/>
          <w:i w:val="0"/>
        </w:rPr>
        <w:t>Let the upper mix begin drying before watering, then drain excess. Low light reduces water demand. Feed lightly during active growth using the label rate; accumulated salts can burn leaf tips. Do not treat every yellow leaf with fertilizer.</w:t>
      </w:r>
    </w:p>
    <w:p>
      <w:pPr>
        <w:jc w:val="center"/>
      </w:pPr>
      <w:r>
        <w:drawing>
          <wp:inline xmlns:a="http://schemas.openxmlformats.org/drawingml/2006/main" xmlns:pic="http://schemas.openxmlformats.org/drawingml/2006/picture">
            <wp:extent cx="5120640" cy="6845346"/>
            <wp:docPr id="2" name="Picture 2"/>
            <wp:cNvGraphicFramePr>
              <a:graphicFrameLocks noChangeAspect="1"/>
            </wp:cNvGraphicFramePr>
            <a:graphic>
              <a:graphicData uri="http://schemas.openxmlformats.org/drawingml/2006/picture">
                <pic:pic>
                  <pic:nvPicPr>
                    <pic:cNvPr id="0" name="21ffcd9e395b3d0740d8e18e.jpg"/>
                    <pic:cNvPicPr/>
                  </pic:nvPicPr>
                  <pic:blipFill>
                    <a:blip r:embed="rId15"/>
                    <a:stretch>
                      <a:fillRect/>
                    </a:stretch>
                  </pic:blipFill>
                  <pic:spPr>
                    <a:xfrm>
                      <a:off x="0" y="0"/>
                      <a:ext cx="5120640" cy="6845346"/>
                    </a:xfrm>
                    <a:prstGeom prst="rect"/>
                  </pic:spPr>
                </pic:pic>
              </a:graphicData>
            </a:graphic>
          </wp:inline>
        </w:drawing>
      </w:r>
    </w:p>
    <w:p>
      <w:pPr>
        <w:pStyle w:val="Caption"/>
      </w:pPr>
      <w:r>
        <w:rPr>
          <w:b w:val="0"/>
          <w:i w:val="0"/>
        </w:rPr>
        <w:t>Aglaonema modestum inflorescence: a spathe surrounds the spadix. Photo: 阿橋 HQ; CC-BY-SA 2.0; source. Unmodified.</w:t>
      </w:r>
      <w:r>
        <w:br/>
      </w:r>
      <w:r>
        <w:t xml:space="preserve">Photograph: 阿橋 HQ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pPr>
        <w:pStyle w:val="Heading2"/>
      </w:pPr>
      <w:r>
        <w:t>Flowering</w:t>
      </w:r>
    </w:p>
    <w:p>
      <w:r>
        <w:rPr>
          <w:b w:val="0"/>
          <w:i w:val="0"/>
        </w:rPr>
        <w:t>A pale spathe encloses the flower-bearing spadix. Berries may follow pollination. Flowering is secondary to foliage quality; remove unwanted spent inflorescences with clean tools.</w:t>
      </w:r>
    </w:p>
    <w:p>
      <w:pPr>
        <w:pStyle w:val="Heading2"/>
      </w:pPr>
      <w:r>
        <w:t>Propagation and grooming</w:t>
      </w:r>
    </w:p>
    <w:p>
      <w:r>
        <w:rPr>
          <w:b w:val="0"/>
          <w:i w:val="0"/>
        </w:rPr>
        <w:t>Divide rooted clumps or root stem cuttings with viable nodes. Keep cuttings warm in an airy, lightly moist medium. Remove declining leaves at the base and clean healthy foliage gently.</w:t>
      </w:r>
    </w:p>
    <w:p>
      <w:pPr>
        <w:jc w:val="center"/>
      </w:pPr>
      <w:r>
        <w:drawing>
          <wp:inline xmlns:a="http://schemas.openxmlformats.org/drawingml/2006/main" xmlns:pic="http://schemas.openxmlformats.org/drawingml/2006/picture">
            <wp:extent cx="5120640" cy="5120640"/>
            <wp:docPr id="3" name="Picture 3"/>
            <wp:cNvGraphicFramePr>
              <a:graphicFrameLocks noChangeAspect="1"/>
            </wp:cNvGraphicFramePr>
            <a:graphic>
              <a:graphicData uri="http://schemas.openxmlformats.org/drawingml/2006/picture">
                <pic:pic>
                  <pic:nvPicPr>
                    <pic:cNvPr id="0" name="5b0d792447472923290d6f91.jpg"/>
                    <pic:cNvPicPr/>
                  </pic:nvPicPr>
                  <pic:blipFill>
                    <a:blip r:embed="rId16"/>
                    <a:stretch>
                      <a:fillRect/>
                    </a:stretch>
                  </pic:blipFill>
                  <pic:spPr>
                    <a:xfrm>
                      <a:off x="0" y="0"/>
                      <a:ext cx="5120640" cy="5120640"/>
                    </a:xfrm>
                    <a:prstGeom prst="rect"/>
                  </pic:spPr>
                </pic:pic>
              </a:graphicData>
            </a:graphic>
          </wp:inline>
        </w:drawing>
      </w:r>
    </w:p>
    <w:p>
      <w:pPr>
        <w:pStyle w:val="Caption"/>
      </w:pPr>
      <w:r>
        <w:rPr>
          <w:b w:val="0"/>
          <w:i w:val="0"/>
        </w:rPr>
        <w:t>Aglaonema nitidum on a shaded forest floor in Singapore’s Central Catchment, 2022-10-11. Recorded as wild; a native-region habitat example.</w:t>
      </w:r>
      <w:r>
        <w:br/>
      </w:r>
      <w:r>
        <w:t xml:space="preserve">Photograph: pbsg · </w:t>
      </w:r>
      <w:hyperlink r:id="rId17">
        <w:r>
          <w:rPr>
            <w:color w:val="245B43"/>
            <w:u w:val="single"/>
          </w:rPr>
          <w:t>Original source</w:t>
        </w:r>
      </w:hyperlink>
      <w:r>
        <w:t xml:space="preserve"> · </w:t>
      </w:r>
      <w:hyperlink r:id="rId18">
        <w:r>
          <w:rPr>
            <w:color w:val="245B43"/>
            <w:u w:val="single"/>
          </w:rPr>
          <w:t>CC BY</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ea012df53b25f5cfea959a0b.jpg"/>
                    <pic:cNvPicPr/>
                  </pic:nvPicPr>
                  <pic:blipFill>
                    <a:blip r:embed="rId19"/>
                    <a:stretch>
                      <a:fillRect/>
                    </a:stretch>
                  </pic:blipFill>
                  <pic:spPr>
                    <a:xfrm>
                      <a:off x="0" y="0"/>
                      <a:ext cx="5120640" cy="3840480"/>
                    </a:xfrm>
                    <a:prstGeom prst="rect"/>
                  </pic:spPr>
                </pic:pic>
              </a:graphicData>
            </a:graphic>
          </wp:inline>
        </w:drawing>
      </w:r>
    </w:p>
    <w:p>
      <w:pPr>
        <w:pStyle w:val="Caption"/>
      </w:pPr>
      <w:r>
        <w:rPr>
          <w:b w:val="0"/>
          <w:i w:val="0"/>
        </w:rPr>
        <w:t>Aglaonema densinervium growing in leaf litter at Sibalom, Antique, Philippines, 2022-09-07. Recorded as wild; a second species and habitat example within the genus.</w:t>
      </w:r>
      <w:r>
        <w:br/>
      </w:r>
      <w:r>
        <w:t xml:space="preserve">Photograph: Forest Botial-Jarvis · </w:t>
      </w:r>
      <w:hyperlink r:id="rId20">
        <w:r>
          <w:rPr>
            <w:color w:val="245B43"/>
            <w:u w:val="single"/>
          </w:rPr>
          <w:t>Original source</w:t>
        </w:r>
      </w:hyperlink>
      <w:r>
        <w:t xml:space="preserve"> · </w:t>
      </w:r>
      <w:hyperlink r:id="rId18">
        <w:r>
          <w:rPr>
            <w:color w:val="245B43"/>
            <w:u w:val="single"/>
          </w:rPr>
          <w:t>CC BY</w:t>
        </w:r>
      </w:hyperlink>
      <w:r>
        <w:t>. Resized proportionally.</w:t>
      </w:r>
    </w:p>
    <w:p>
      <w:pPr>
        <w:pStyle w:val="Heading2"/>
      </w:pPr>
      <w:r>
        <w:t>Environment / native habitat</w:t>
      </w:r>
    </w:p>
    <w:p>
      <w:r>
        <w:rPr>
          <w:b w:val="0"/>
          <w:i w:val="0"/>
        </w:rPr>
        <w:t>Aglaonema species occur in warm Asian forest environments. Understory light and humid air explain their indoor usefulness, while freely draining roots remain essential. The photographed species are examples, not a habitat claim for every cultivar.</w:t>
      </w:r>
    </w:p>
    <w:p>
      <w:pPr>
        <w:pStyle w:val="Heading2"/>
      </w:pPr>
      <w:r>
        <w:t>Troubleshooting and seasonal care</w:t>
      </w:r>
    </w:p>
    <w:p>
      <w:r>
        <w:rPr>
          <w:b w:val="0"/>
          <w:i w:val="0"/>
        </w:rPr>
        <w:t>Chilling, excess water, concentrated fertilizer, and mites can all damage foliage. Inspect undersides and roots before choosing a remedy. In Indiana, bring summer containers inside before nights become cold.</w:t>
      </w:r>
    </w:p>
    <w:p>
      <w:pPr>
        <w:pStyle w:val="Heading2"/>
      </w:pPr>
      <w:r>
        <w:t>Sources and further reading</w:t>
      </w:r>
    </w:p>
    <w:p>
      <w:hyperlink r:id="rId13">
        <w:r>
          <w:rPr>
            <w:color w:val="245B43"/>
            <w:u w:val="single"/>
          </w:rPr>
          <w:t>NC State Extension Plant Toolbox — Aglaonema</w:t>
        </w:r>
      </w:hyperlink>
    </w:p>
    <w:p>
      <w:hyperlink r:id="rId21">
        <w:r>
          <w:rPr>
            <w:color w:val="245B43"/>
            <w:u w:val="single"/>
          </w:rPr>
          <w:t>University of Florida IFAS — Cultural Guidelines for Commercial Production of Interiorscape Aglaonema</w:t>
        </w:r>
      </w:hyperlink>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chinese-evergreen/" TargetMode="External"/><Relationship Id="rId12" Type="http://schemas.openxmlformats.org/officeDocument/2006/relationships/image" Target="media/image1.jpg"/><Relationship Id="rId13" Type="http://schemas.openxmlformats.org/officeDocument/2006/relationships/hyperlink" Target="https://plants.ces.ncsu.edu/plants/aglaonema/" TargetMode="External"/><Relationship Id="rId14" Type="http://schemas.openxmlformats.org/officeDocument/2006/relationships/hyperlink" Target="https://creativecommons.org/licenses/by-sa/2.0/" TargetMode="External"/><Relationship Id="rId15" Type="http://schemas.openxmlformats.org/officeDocument/2006/relationships/image" Target="media/image2.jpg"/><Relationship Id="rId16" Type="http://schemas.openxmlformats.org/officeDocument/2006/relationships/image" Target="media/image3.jpg"/><Relationship Id="rId17" Type="http://schemas.openxmlformats.org/officeDocument/2006/relationships/hyperlink" Target="https://www.inaturalist.org/photos/236689320" TargetMode="External"/><Relationship Id="rId18" Type="http://schemas.openxmlformats.org/officeDocument/2006/relationships/hyperlink" Target="https://creativecommons.org/licenses/by/4.0/" TargetMode="External"/><Relationship Id="rId19" Type="http://schemas.openxmlformats.org/officeDocument/2006/relationships/image" Target="media/image4.jpg"/><Relationship Id="rId20" Type="http://schemas.openxmlformats.org/officeDocument/2006/relationships/hyperlink" Target="https://www.inaturalist.org/photos/236182049" TargetMode="External"/><Relationship Id="rId21" Type="http://schemas.openxmlformats.org/officeDocument/2006/relationships/hyperlink" Target="https://ask.ifas.ufl.edu/publication/EP160" TargetMode="External"/><Relationship Id="rId22" Type="http://schemas.openxmlformats.org/officeDocument/2006/relationships/hyperlink" Target="https://planteducationproject.com/information-sheets/master-index/" TargetMode="External"/><Relationship Id="rId2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chinese evergreen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