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Thief Ant</w:t>
      </w:r>
    </w:p>
    <w:p>
      <w:pPr>
        <w:spacing w:after="320"/>
      </w:pPr>
      <w:r>
        <w:t>Combined Information Sheets</w:t>
      </w:r>
    </w:p>
    <w:p>
      <w:pPr>
        <w:pStyle w:val="Heading1"/>
      </w:pPr>
      <w:r>
        <w:t>Thief Ant</w:t>
      </w:r>
    </w:p>
    <w:p>
      <w:r>
        <w:rPr>
          <w:b/>
        </w:rPr>
        <w:t xml:space="preserve">Online Information Sheet: </w:t>
      </w:r>
      <w:hyperlink r:id="rId11">
        <w:r>
          <w:rPr>
            <w:color w:val="245B43"/>
            <w:u w:val="single"/>
          </w:rPr>
          <w:t>planteducationproject.com/animals/thief-ant/</w:t>
        </w:r>
      </w:hyperlink>
    </w:p>
    <w:p>
      <w:r>
        <w:rPr>
          <w:b w:val="0"/>
          <w:i w:val="0"/>
        </w:rPr>
        <w:t>🌿 Animal Information Sheet</w:t>
      </w:r>
    </w:p>
    <w:p>
      <w:r>
        <w:rPr>
          <w:b w:val="0"/>
          <w:i/>
        </w:rPr>
        <w:t>Solenopsis molesta</w:t>
      </w:r>
    </w:p>
    <w:p>
      <w:pPr>
        <w:jc w:val="center"/>
      </w:pPr>
      <w:r>
        <w:drawing>
          <wp:inline xmlns:a="http://schemas.openxmlformats.org/drawingml/2006/main" xmlns:pic="http://schemas.openxmlformats.org/drawingml/2006/picture">
            <wp:extent cx="5120640" cy="3855990"/>
            <wp:docPr id="1" name="Picture 1"/>
            <wp:cNvGraphicFramePr>
              <a:graphicFrameLocks noChangeAspect="1"/>
            </wp:cNvGraphicFramePr>
            <a:graphic>
              <a:graphicData uri="http://schemas.openxmlformats.org/drawingml/2006/picture">
                <pic:pic>
                  <pic:nvPicPr>
                    <pic:cNvPr id="0" name="fba29d8f39276dcd3bd7c8a0.jpg"/>
                    <pic:cNvPicPr/>
                  </pic:nvPicPr>
                  <pic:blipFill>
                    <a:blip r:embed="rId12"/>
                    <a:stretch>
                      <a:fillRect/>
                    </a:stretch>
                  </pic:blipFill>
                  <pic:spPr>
                    <a:xfrm>
                      <a:off x="0" y="0"/>
                      <a:ext cx="5120640" cy="3855990"/>
                    </a:xfrm>
                    <a:prstGeom prst="rect"/>
                  </pic:spPr>
                </pic:pic>
              </a:graphicData>
            </a:graphic>
          </wp:inline>
        </w:drawing>
      </w:r>
    </w:p>
    <w:p>
      <w:pPr>
        <w:pStyle w:val="Caption"/>
      </w:pPr>
      <w:r>
        <w:rPr>
          <w:b w:val="0"/>
          <w:i w:val="0"/>
        </w:rPr>
        <w:t>AntWeb worker profile of Solenopsis molesta. The scale bar is 0.2 mm.</w:t>
      </w:r>
      <w:r>
        <w:br/>
      </w:r>
      <w:r>
        <w:t xml:space="preserve">Photograph: Michael Branstetter · </w:t>
      </w:r>
      <w:hyperlink r:id="rId13">
        <w:r>
          <w:rPr>
            <w:color w:val="245B43"/>
            <w:u w:val="single"/>
          </w:rPr>
          <w:t>Original source</w:t>
        </w:r>
      </w:hyperlink>
      <w:r>
        <w:t xml:space="preserve"> · </w:t>
      </w:r>
      <w:hyperlink r:id="rId14">
        <w:r>
          <w:rPr>
            <w:color w:val="245B43"/>
            <w:u w:val="single"/>
          </w:rPr>
          <w:t>CC BY 4.0</w:t>
        </w:r>
      </w:hyperlink>
      <w:r>
        <w:t>. Resized proportionally.</w:t>
      </w:r>
    </w:p>
    <w:p>
      <w:r>
        <w:rPr>
          <w:b w:val="0"/>
          <w:i w:val="0"/>
        </w:rPr>
        <w:t>An exceptionally small ant that can enter gaps and food packages inaccessible to larger ants. Correct identification matters because the similar-looking pharaoh ant requires a different management approach.</w:t>
      </w:r>
    </w:p>
    <w:p>
      <w:pPr>
        <w:pStyle w:val="Heading2"/>
      </w:pPr>
      <w:r>
        <w:t>At a Glance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Field</w:t>
            </w:r>
          </w:p>
        </w:tc>
        <w:tc>
          <w:tcPr>
            <w:tcW w:type="dxa" w:w="5083"/>
            <w:vAlign w:val="center"/>
            <w:shd w:fill="E9EDF0"/>
          </w:tcPr>
          <w:p>
            <w:pPr>
              <w:spacing w:after="60"/>
            </w:pPr>
            <w:r>
              <w:rPr>
                <w:b/>
                <w:i w:val="0"/>
                <w:sz w:val="22"/>
              </w:rPr>
              <w:t>Information</w:t>
            </w:r>
          </w:p>
        </w:tc>
      </w:tr>
      <w:tr>
        <w:trPr>
          <w:cantSplit/>
        </w:trPr>
        <w:tc>
          <w:tcPr>
            <w:tcW w:type="dxa" w:w="5083"/>
            <w:vAlign w:val="center"/>
            <w:shd w:fill="FFFFFF"/>
          </w:tcPr>
          <w:p>
            <w:pPr>
              <w:spacing w:after="60"/>
            </w:pPr>
            <w:r>
              <w:rPr>
                <w:b/>
                <w:i w:val="0"/>
                <w:sz w:val="22"/>
              </w:rPr>
              <w:t>Scientific name</w:t>
            </w:r>
          </w:p>
        </w:tc>
        <w:tc>
          <w:tcPr>
            <w:tcW w:type="dxa" w:w="5083"/>
            <w:vAlign w:val="center"/>
            <w:shd w:fill="FFFFFF"/>
          </w:tcPr>
          <w:p>
            <w:pPr>
              <w:spacing w:after="60"/>
            </w:pPr>
            <w:r>
              <w:rPr>
                <w:b w:val="0"/>
                <w:i w:val="0"/>
                <w:sz w:val="22"/>
              </w:rPr>
              <w:t>Solenopsis molesta</w:t>
            </w:r>
          </w:p>
        </w:tc>
      </w:tr>
      <w:tr>
        <w:trPr>
          <w:cantSplit/>
        </w:trPr>
        <w:tc>
          <w:tcPr>
            <w:tcW w:type="dxa" w:w="5083"/>
            <w:vAlign w:val="center"/>
            <w:shd w:fill="FFFFFF"/>
          </w:tcPr>
          <w:p>
            <w:pPr>
              <w:spacing w:after="60"/>
            </w:pPr>
            <w:r>
              <w:rPr>
                <w:b/>
                <w:i w:val="0"/>
                <w:sz w:val="22"/>
              </w:rPr>
              <w:t>Worker length</w:t>
            </w:r>
          </w:p>
        </w:tc>
        <w:tc>
          <w:tcPr>
            <w:tcW w:type="dxa" w:w="5083"/>
            <w:vAlign w:val="center"/>
            <w:shd w:fill="FFFFFF"/>
          </w:tcPr>
          <w:p>
            <w:pPr>
              <w:spacing w:after="60"/>
            </w:pPr>
            <w:r>
              <w:rPr>
                <w:b w:val="0"/>
                <w:i w:val="0"/>
                <w:sz w:val="22"/>
              </w:rPr>
              <w:t>Workers roughly 1 to 2 mm</w:t>
            </w:r>
          </w:p>
        </w:tc>
      </w:tr>
      <w:tr>
        <w:trPr>
          <w:cantSplit/>
        </w:trPr>
        <w:tc>
          <w:tcPr>
            <w:tcW w:type="dxa" w:w="5083"/>
            <w:vAlign w:val="center"/>
            <w:shd w:fill="FFFFFF"/>
          </w:tcPr>
          <w:p>
            <w:pPr>
              <w:spacing w:after="60"/>
            </w:pPr>
            <w:r>
              <w:rPr>
                <w:b/>
                <w:i w:val="0"/>
                <w:sz w:val="22"/>
              </w:rPr>
              <w:t>Native status</w:t>
            </w:r>
          </w:p>
        </w:tc>
        <w:tc>
          <w:tcPr>
            <w:tcW w:type="dxa" w:w="5083"/>
            <w:vAlign w:val="center"/>
            <w:shd w:fill="FFFFFF"/>
          </w:tcPr>
          <w:p>
            <w:pPr>
              <w:spacing w:after="60"/>
            </w:pPr>
            <w:r>
              <w:rPr>
                <w:b w:val="0"/>
                <w:i w:val="0"/>
                <w:sz w:val="22"/>
              </w:rPr>
              <w:t>Native to North America</w:t>
            </w:r>
          </w:p>
        </w:tc>
      </w:tr>
      <w:tr>
        <w:trPr>
          <w:cantSplit/>
        </w:trPr>
        <w:tc>
          <w:tcPr>
            <w:tcW w:type="dxa" w:w="5083"/>
            <w:vAlign w:val="center"/>
            <w:shd w:fill="FFFFFF"/>
          </w:tcPr>
          <w:p>
            <w:pPr>
              <w:spacing w:after="60"/>
            </w:pPr>
            <w:r>
              <w:rPr>
                <w:b/>
                <w:i w:val="0"/>
                <w:sz w:val="22"/>
              </w:rPr>
              <w:t>Practical significance</w:t>
            </w:r>
          </w:p>
        </w:tc>
        <w:tc>
          <w:tcPr>
            <w:tcW w:type="dxa" w:w="5083"/>
            <w:vAlign w:val="center"/>
            <w:shd w:fill="FFFFFF"/>
          </w:tcPr>
          <w:p>
            <w:pPr>
              <w:spacing w:after="60"/>
            </w:pPr>
            <w:r>
              <w:rPr>
                <w:b w:val="0"/>
                <w:i w:val="0"/>
                <w:sz w:val="22"/>
              </w:rPr>
              <w:t>Tiny native ant; can contaminate stored food indoors</w:t>
            </w:r>
          </w:p>
        </w:tc>
      </w:tr>
    </w:tbl>
    <w:p>
      <w:pPr>
        <w:spacing w:after="20"/>
      </w:pPr>
    </w:p>
    <w:p>
      <w:pPr>
        <w:pStyle w:val="Heading2"/>
      </w:pPr>
      <w:r>
        <w:t>Identification</w:t>
      </w:r>
    </w:p>
    <w:p>
      <w:r>
        <w:rPr>
          <w:b w:val="0"/>
          <w:i w:val="0"/>
        </w:rPr>
        <w:t>Workers are yellow to light brown with tiny eyes, two waist nodes, and 10-segmented antennae ending in a two-segmented club. Those antennal details normally require a microscope. A blurred yellow speck is not enough for a species identification. [ID]</w:t>
      </w:r>
    </w:p>
    <w:p>
      <w:r>
        <w:rPr>
          <w:b w:val="0"/>
          <w:i w:val="0"/>
        </w:rPr>
        <w:t>Pharaoh ants have 12-segmented antennae and a three-segmented club. Thief ants themselves include closely related forms, so uncertain specimens should remain labeled Solenopsis molesta group until examined.</w:t>
      </w:r>
    </w:p>
    <w:p>
      <w:pPr>
        <w:pStyle w:val="Heading2"/>
      </w:pPr>
      <w:r>
        <w:t>Food and foraging</w:t>
      </w:r>
    </w:p>
    <w:p>
      <w:r>
        <w:rPr>
          <w:b w:val="0"/>
          <w:i w:val="0"/>
        </w:rPr>
        <w:t>Takes insect brood and varied foods, including fats and proteins. Tiny workers can exploit narrow pathways into stored products. Sweet foods may also be used, so food choice alone is not diagnostic. [ID]</w:t>
      </w:r>
    </w:p>
    <w:p>
      <w:pPr>
        <w:jc w:val="center"/>
      </w:pPr>
      <w:r>
        <w:drawing>
          <wp:inline xmlns:a="http://schemas.openxmlformats.org/drawingml/2006/main" xmlns:pic="http://schemas.openxmlformats.org/drawingml/2006/picture">
            <wp:extent cx="5120640" cy="2656332"/>
            <wp:docPr id="2" name="Picture 2"/>
            <wp:cNvGraphicFramePr>
              <a:graphicFrameLocks noChangeAspect="1"/>
            </wp:cNvGraphicFramePr>
            <a:graphic>
              <a:graphicData uri="http://schemas.openxmlformats.org/drawingml/2006/picture">
                <pic:pic>
                  <pic:nvPicPr>
                    <pic:cNvPr id="0" name="8e51ad42bfec6e9af259c900.jpg"/>
                    <pic:cNvPicPr/>
                  </pic:nvPicPr>
                  <pic:blipFill>
                    <a:blip r:embed="rId15"/>
                    <a:stretch>
                      <a:fillRect/>
                    </a:stretch>
                  </pic:blipFill>
                  <pic:spPr>
                    <a:xfrm>
                      <a:off x="0" y="0"/>
                      <a:ext cx="5120640" cy="2656332"/>
                    </a:xfrm>
                    <a:prstGeom prst="rect"/>
                  </pic:spPr>
                </pic:pic>
              </a:graphicData>
            </a:graphic>
          </wp:inline>
        </w:drawing>
      </w:r>
    </w:p>
    <w:p>
      <w:pPr>
        <w:pStyle w:val="Caption"/>
      </w:pPr>
      <w:r>
        <w:rPr>
          <w:b w:val="0"/>
          <w:i w:val="0"/>
        </w:rPr>
        <w:t>Winged thief-ant queen photographed by xpda. Identification follows the source record.</w:t>
      </w:r>
      <w:r>
        <w:br/>
      </w:r>
      <w:r>
        <w:t xml:space="preserve">Photograph: xpda · </w:t>
      </w:r>
      <w:hyperlink r:id="rId16">
        <w:r>
          <w:rPr>
            <w:color w:val="245B43"/>
            <w:u w:val="single"/>
          </w:rPr>
          <w:t>Original source</w:t>
        </w:r>
      </w:hyperlink>
      <w:r>
        <w:t xml:space="preserve"> · </w:t>
      </w:r>
      <w:hyperlink r:id="rId17">
        <w:r>
          <w:rPr>
            <w:color w:val="245B43"/>
            <w:u w:val="single"/>
          </w:rPr>
          <w:t>CC BY-SA 4.0</w:t>
        </w:r>
      </w:hyperlink>
      <w:r>
        <w:t>. Resized proportionally.</w:t>
      </w:r>
    </w:p>
    <w:p>
      <w:pPr>
        <w:pStyle w:val="Heading2"/>
      </w:pPr>
      <w:r>
        <w:t>Life cycle and seasonal timing</w:t>
      </w:r>
    </w:p>
    <w:p>
      <w:r>
        <w:rPr>
          <w:b w:val="0"/>
          <w:i w:val="0"/>
        </w:rPr>
        <w:t>Colonies may have several queens. Workers tend eggs, larvae, and pupae in small concealed chambers. New colonies can begin after reproductive flights; the presence of one tiny worker does not locate the colony.</w:t>
      </w:r>
    </w:p>
    <w:p>
      <w:r>
        <w:rPr>
          <w:b w:val="0"/>
          <w:i w:val="0"/>
        </w:rPr>
        <w:t>Mating flights are generally reported from late July into early autumn. Indoor foraging is especially noticeable during hot weather, but location and shelter modify the pattern. [ID, Thief]</w:t>
      </w:r>
    </w:p>
    <w:p>
      <w:pPr>
        <w:jc w:val="center"/>
      </w:pPr>
      <w:r>
        <w:drawing>
          <wp:inline xmlns:a="http://schemas.openxmlformats.org/drawingml/2006/main" xmlns:pic="http://schemas.openxmlformats.org/drawingml/2006/picture">
            <wp:extent cx="5120640" cy="3413760"/>
            <wp:docPr id="3" name="Picture 3"/>
            <wp:cNvGraphicFramePr>
              <a:graphicFrameLocks noChangeAspect="1"/>
            </wp:cNvGraphicFramePr>
            <a:graphic>
              <a:graphicData uri="http://schemas.openxmlformats.org/drawingml/2006/picture">
                <pic:pic>
                  <pic:nvPicPr>
                    <pic:cNvPr id="0" name="6dd72f1e04f2fd43a095b319.jpg"/>
                    <pic:cNvPicPr/>
                  </pic:nvPicPr>
                  <pic:blipFill>
                    <a:blip r:embed="rId18"/>
                    <a:stretch>
                      <a:fillRect/>
                    </a:stretch>
                  </pic:blipFill>
                  <pic:spPr>
                    <a:xfrm>
                      <a:off x="0" y="0"/>
                      <a:ext cx="5120640" cy="3413760"/>
                    </a:xfrm>
                    <a:prstGeom prst="rect"/>
                  </pic:spPr>
                </pic:pic>
              </a:graphicData>
            </a:graphic>
          </wp:inline>
        </w:drawing>
      </w:r>
    </w:p>
    <w:p>
      <w:pPr>
        <w:pStyle w:val="Caption"/>
      </w:pPr>
      <w:r>
        <w:rPr>
          <w:b w:val="0"/>
          <w:i w:val="0"/>
        </w:rPr>
        <w:t>Turkey Run SP, IN 2.jpg • Daniel Schwen • CC BY-SA 4.0</w:t>
      </w:r>
      <w:r>
        <w:br/>
      </w:r>
      <w:r>
        <w:t xml:space="preserve">Photograph: Daniel Schwen · </w:t>
      </w:r>
      <w:hyperlink r:id="rId19">
        <w:r>
          <w:rPr>
            <w:color w:val="245B43"/>
            <w:u w:val="single"/>
          </w:rPr>
          <w:t>Original source</w:t>
        </w:r>
      </w:hyperlink>
      <w:r>
        <w:t xml:space="preserve"> · </w:t>
      </w:r>
      <w:hyperlink r:id="rId17">
        <w:r>
          <w:rPr>
            <w:color w:val="245B43"/>
            <w:u w:val="single"/>
          </w:rPr>
          <w:t>CC BY-SA 4.0</w:t>
        </w:r>
      </w:hyperlink>
      <w:r>
        <w:t>. Resized proportionally.</w:t>
      </w:r>
    </w:p>
    <w:p>
      <w:pPr>
        <w:jc w:val="center"/>
      </w:pPr>
      <w:r>
        <w:drawing>
          <wp:inline xmlns:a="http://schemas.openxmlformats.org/drawingml/2006/main" xmlns:pic="http://schemas.openxmlformats.org/drawingml/2006/picture">
            <wp:extent cx="5120640" cy="3840480"/>
            <wp:docPr id="4" name="Picture 4"/>
            <wp:cNvGraphicFramePr>
              <a:graphicFrameLocks noChangeAspect="1"/>
            </wp:cNvGraphicFramePr>
            <a:graphic>
              <a:graphicData uri="http://schemas.openxmlformats.org/drawingml/2006/picture">
                <pic:pic>
                  <pic:nvPicPr>
                    <pic:cNvPr id="0" name="283fcc6808ca00b87a983a57.jpg"/>
                    <pic:cNvPicPr/>
                  </pic:nvPicPr>
                  <pic:blipFill>
                    <a:blip r:embed="rId20"/>
                    <a:stretch>
                      <a:fillRect/>
                    </a:stretch>
                  </pic:blipFill>
                  <pic:spPr>
                    <a:xfrm>
                      <a:off x="0" y="0"/>
                      <a:ext cx="5120640" cy="3840480"/>
                    </a:xfrm>
                    <a:prstGeom prst="rect"/>
                  </pic:spPr>
                </pic:pic>
              </a:graphicData>
            </a:graphic>
          </wp:inline>
        </w:drawing>
      </w:r>
    </w:p>
    <w:p>
      <w:pPr>
        <w:pStyle w:val="Caption"/>
      </w:pPr>
      <w:r>
        <w:rPr>
          <w:b w:val="0"/>
          <w:i w:val="0"/>
        </w:rPr>
        <w:t>Hoosier Prairie P7150009.jpg • Chris Light, National Park Service • Public domain</w:t>
      </w:r>
      <w:r>
        <w:br/>
      </w:r>
      <w:r>
        <w:t xml:space="preserve">Photograph: Chris Light, National Park Service · </w:t>
      </w:r>
      <w:hyperlink r:id="rId21">
        <w:r>
          <w:rPr>
            <w:color w:val="245B43"/>
            <w:u w:val="single"/>
          </w:rPr>
          <w:t>Original source</w:t>
        </w:r>
      </w:hyperlink>
      <w:r>
        <w:t xml:space="preserve"> · </w:t>
      </w:r>
      <w:hyperlink r:id="rId22">
        <w:r>
          <w:rPr>
            <w:color w:val="245B43"/>
            <w:u w:val="single"/>
          </w:rPr>
          <w:t>Public domain</w:t>
        </w:r>
      </w:hyperlink>
      <w:r>
        <w:t>. Resized proportionally.</w:t>
      </w:r>
    </w:p>
    <w:p>
      <w:pPr>
        <w:pStyle w:val="Heading2"/>
      </w:pPr>
      <w:r>
        <w:t>Environment and local occurrence</w:t>
      </w:r>
    </w:p>
    <w:p>
      <w:r>
        <w:rPr>
          <w:b w:val="0"/>
          <w:i w:val="0"/>
        </w:rPr>
        <w:t>Soil, rotting wood, and spaces beneath stones or other objects. Nests may be close to other ant colonies. Indoors, small cavities and cracks offer concealed nesting sites.</w:t>
      </w:r>
    </w:p>
    <w:p>
      <w:r>
        <w:rPr>
          <w:b w:val="0"/>
          <w:i w:val="0"/>
        </w:rPr>
        <w:t>Morris lists Tippecanoe County for Solenopsis molesta. The record is historical and does not identify a present-day household infestation. [IN]</w:t>
      </w:r>
    </w:p>
    <w:p>
      <w:pPr>
        <w:pStyle w:val="Heading2"/>
      </w:pPr>
      <w:r>
        <w:t>Living with this ant</w:t>
      </w:r>
    </w:p>
    <w:p>
      <w:r>
        <w:rPr>
          <w:b w:val="0"/>
          <w:i w:val="0"/>
        </w:rPr>
        <w:t>Remove contaminated food, clean grease residues, and store food in well-sealed rigid containers. Confirm thief ant versus pharaoh ant before treatment. Persistent infestations often need professional identification and follow-up. [UC]</w:t>
      </w:r>
    </w:p>
    <w:p>
      <w:r>
        <w:rPr>
          <w:b w:val="0"/>
          <w:i w:val="0"/>
        </w:rPr>
        <w:t>Observe without handling or deliberately disturbing the nest. Before using a pesticide, confirm the ant and follow the current label for the site and application. Protect food, children, pets, and nearby water.</w:t>
      </w:r>
    </w:p>
    <w:p>
      <w:pPr>
        <w:pStyle w:val="Heading2"/>
      </w:pPr>
      <w:r>
        <w:t>Related Information Sheets</w:t>
      </w:r>
    </w:p>
    <w:p>
      <w:r>
        <w:rPr>
          <w:b w:val="0"/>
          <w:i w:val="0"/>
        </w:rPr>
        <w:t xml:space="preserve">Added September 22, 2026 · </w:t>
      </w:r>
      <w:hyperlink r:id="rId23">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Thief Ant — Climate</w:t>
      </w:r>
    </w:p>
    <w:p>
      <w:r>
        <w:rPr>
          <w:b/>
        </w:rPr>
        <w:t xml:space="preserve">Online Information Sheet: </w:t>
      </w:r>
      <w:hyperlink r:id="rId25">
        <w:r>
          <w:rPr>
            <w:color w:val="245B43"/>
            <w:u w:val="single"/>
          </w:rPr>
          <w:t>planteducationproject.com/animals/thief-ant/climate/</w:t>
        </w:r>
      </w:hyperlink>
    </w:p>
    <w:p>
      <w:r>
        <w:rPr>
          <w:b w:val="0"/>
          <w:i w:val="0"/>
        </w:rPr>
        <w:t>🌿 Climate Information Sheet</w:t>
      </w:r>
    </w:p>
    <w:p>
      <w:r>
        <w:rPr>
          <w:b w:val="0"/>
          <w:i/>
        </w:rPr>
        <w:t>Solenopsis molesta</w:t>
      </w:r>
    </w:p>
    <w:p>
      <w:r>
        <w:rPr>
          <w:b w:val="0"/>
          <w:i w:val="0"/>
        </w:rPr>
        <w:t>Indiana provides a seasonal outdoor setting, with freezing winters and warm summers. The table describes Lafayette weather; it is not a nest-temperature range or a laboratory tolerance limit for this ant.</w:t>
      </w:r>
    </w:p>
    <w:p>
      <w:pPr>
        <w:pStyle w:val="Heading2"/>
      </w:pPr>
      <w:r>
        <w:t>Lafayette climate at a glance</w:t>
      </w:r>
    </w:p>
    <w:tbl>
      <w:tblPr>
        <w:tblW w:type="auto" w:w="0"/>
        <w:jc w:val="center"/>
        <w:tblLayout w:type="autofit"/>
        <w:tblLook w:firstColumn="1" w:firstRow="1" w:lastColumn="0" w:lastRow="0" w:noHBand="0" w:noVBand="1" w:val="04A0"/>
      </w:tblPr>
      <w:tblGrid>
        <w:gridCol w:w="2033"/>
        <w:gridCol w:w="2033"/>
        <w:gridCol w:w="2033"/>
        <w:gridCol w:w="2033"/>
        <w:gridCol w:w="2033"/>
      </w:tblGrid>
      <w:tr>
        <w:trPr>
          <w:cantSplit/>
          <w:tblHeader w:val="true"/>
        </w:trPr>
        <w:tc>
          <w:tcPr>
            <w:tcW w:type="dxa" w:w="2033"/>
            <w:vAlign w:val="center"/>
            <w:shd w:fill="E9EDF0"/>
          </w:tcPr>
          <w:p>
            <w:pPr>
              <w:spacing w:after="60"/>
            </w:pPr>
            <w:r>
              <w:rPr>
                <w:b/>
                <w:i w:val="0"/>
                <w:sz w:val="22"/>
              </w:rPr>
              <w:t>Month</w:t>
            </w:r>
          </w:p>
        </w:tc>
        <w:tc>
          <w:tcPr>
            <w:tcW w:type="dxa" w:w="2033"/>
            <w:vAlign w:val="center"/>
            <w:shd w:fill="E9EDF0"/>
          </w:tcPr>
          <w:p>
            <w:pPr>
              <w:spacing w:after="60"/>
            </w:pPr>
            <w:r>
              <w:rPr>
                <w:b/>
                <w:i w:val="0"/>
                <w:sz w:val="22"/>
              </w:rPr>
              <w:t>Mean °F</w:t>
            </w:r>
          </w:p>
        </w:tc>
        <w:tc>
          <w:tcPr>
            <w:tcW w:type="dxa" w:w="2033"/>
            <w:vAlign w:val="center"/>
            <w:shd w:fill="E9EDF0"/>
          </w:tcPr>
          <w:p>
            <w:pPr>
              <w:spacing w:after="60"/>
            </w:pPr>
            <w:r>
              <w:rPr>
                <w:b/>
                <w:i w:val="0"/>
                <w:sz w:val="22"/>
              </w:rPr>
              <w:t>Mean °C</w:t>
            </w:r>
          </w:p>
        </w:tc>
        <w:tc>
          <w:tcPr>
            <w:tcW w:type="dxa" w:w="2033"/>
            <w:vAlign w:val="center"/>
            <w:shd w:fill="E9EDF0"/>
          </w:tcPr>
          <w:p>
            <w:pPr>
              <w:spacing w:after="60"/>
            </w:pPr>
            <w:r>
              <w:rPr>
                <w:b/>
                <w:i w:val="0"/>
                <w:sz w:val="22"/>
              </w:rPr>
              <w:t>Precip in</w:t>
            </w:r>
          </w:p>
        </w:tc>
        <w:tc>
          <w:tcPr>
            <w:tcW w:type="dxa" w:w="2033"/>
            <w:vAlign w:val="center"/>
            <w:shd w:fill="E9EDF0"/>
          </w:tcPr>
          <w:p>
            <w:pPr>
              <w:spacing w:after="60"/>
            </w:pPr>
            <w:r>
              <w:rPr>
                <w:b/>
                <w:i w:val="0"/>
                <w:sz w:val="22"/>
              </w:rPr>
              <w:t>Precip mm</w:t>
            </w:r>
          </w:p>
        </w:tc>
      </w:tr>
      <w:tr>
        <w:trPr>
          <w:cantSplit/>
        </w:trPr>
        <w:tc>
          <w:tcPr>
            <w:tcW w:type="dxa" w:w="2033"/>
            <w:vAlign w:val="center"/>
            <w:shd w:fill="FFFFFF"/>
          </w:tcPr>
          <w:p>
            <w:pPr>
              <w:spacing w:after="60"/>
            </w:pPr>
            <w:r>
              <w:rPr>
                <w:b/>
                <w:i w:val="0"/>
                <w:sz w:val="22"/>
              </w:rPr>
              <w:t>Jan</w:t>
            </w:r>
          </w:p>
        </w:tc>
        <w:tc>
          <w:tcPr>
            <w:tcW w:type="dxa" w:w="2033"/>
            <w:vAlign w:val="center"/>
            <w:shd w:fill="FFFFFF"/>
          </w:tcPr>
          <w:p>
            <w:pPr>
              <w:spacing w:after="60"/>
            </w:pPr>
            <w:r>
              <w:rPr>
                <w:b w:val="0"/>
                <w:i w:val="0"/>
                <w:sz w:val="22"/>
              </w:rPr>
              <w:t>25.8</w:t>
            </w:r>
          </w:p>
        </w:tc>
        <w:tc>
          <w:tcPr>
            <w:tcW w:type="dxa" w:w="2033"/>
            <w:vAlign w:val="center"/>
            <w:shd w:fill="FFFFFF"/>
          </w:tcPr>
          <w:p>
            <w:pPr>
              <w:spacing w:after="60"/>
            </w:pPr>
            <w:r>
              <w:rPr>
                <w:b w:val="0"/>
                <w:i w:val="0"/>
                <w:sz w:val="22"/>
              </w:rPr>
              <w:t>-3.4</w:t>
            </w:r>
          </w:p>
        </w:tc>
        <w:tc>
          <w:tcPr>
            <w:tcW w:type="dxa" w:w="2033"/>
            <w:vAlign w:val="center"/>
            <w:shd w:fill="FFFFFF"/>
          </w:tcPr>
          <w:p>
            <w:pPr>
              <w:spacing w:after="60"/>
            </w:pPr>
            <w:r>
              <w:rPr>
                <w:b w:val="0"/>
                <w:i w:val="0"/>
                <w:sz w:val="22"/>
              </w:rPr>
              <w:t>2.19</w:t>
            </w:r>
          </w:p>
        </w:tc>
        <w:tc>
          <w:tcPr>
            <w:tcW w:type="dxa" w:w="2033"/>
            <w:vAlign w:val="center"/>
            <w:shd w:fill="FFFFFF"/>
          </w:tcPr>
          <w:p>
            <w:pPr>
              <w:spacing w:after="60"/>
            </w:pPr>
            <w:r>
              <w:rPr>
                <w:b w:val="0"/>
                <w:i w:val="0"/>
                <w:sz w:val="22"/>
              </w:rPr>
              <w:t>56</w:t>
            </w:r>
          </w:p>
        </w:tc>
      </w:tr>
      <w:tr>
        <w:trPr>
          <w:cantSplit/>
        </w:trPr>
        <w:tc>
          <w:tcPr>
            <w:tcW w:type="dxa" w:w="2033"/>
            <w:vAlign w:val="center"/>
            <w:shd w:fill="FFFFFF"/>
          </w:tcPr>
          <w:p>
            <w:pPr>
              <w:spacing w:after="60"/>
            </w:pPr>
            <w:r>
              <w:rPr>
                <w:b/>
                <w:i w:val="0"/>
                <w:sz w:val="22"/>
              </w:rPr>
              <w:t>Feb</w:t>
            </w:r>
          </w:p>
        </w:tc>
        <w:tc>
          <w:tcPr>
            <w:tcW w:type="dxa" w:w="2033"/>
            <w:vAlign w:val="center"/>
            <w:shd w:fill="FFFFFF"/>
          </w:tcPr>
          <w:p>
            <w:pPr>
              <w:spacing w:after="60"/>
            </w:pPr>
            <w:r>
              <w:rPr>
                <w:b w:val="0"/>
                <w:i w:val="0"/>
                <w:sz w:val="22"/>
              </w:rPr>
              <w:t>29.7</w:t>
            </w:r>
          </w:p>
        </w:tc>
        <w:tc>
          <w:tcPr>
            <w:tcW w:type="dxa" w:w="2033"/>
            <w:vAlign w:val="center"/>
            <w:shd w:fill="FFFFFF"/>
          </w:tcPr>
          <w:p>
            <w:pPr>
              <w:spacing w:after="60"/>
            </w:pPr>
            <w:r>
              <w:rPr>
                <w:b w:val="0"/>
                <w:i w:val="0"/>
                <w:sz w:val="22"/>
              </w:rPr>
              <w:t>-1.3</w:t>
            </w:r>
          </w:p>
        </w:tc>
        <w:tc>
          <w:tcPr>
            <w:tcW w:type="dxa" w:w="2033"/>
            <w:vAlign w:val="center"/>
            <w:shd w:fill="FFFFFF"/>
          </w:tcPr>
          <w:p>
            <w:pPr>
              <w:spacing w:after="60"/>
            </w:pPr>
            <w:r>
              <w:rPr>
                <w:b w:val="0"/>
                <w:i w:val="0"/>
                <w:sz w:val="22"/>
              </w:rPr>
              <w:t>1.78</w:t>
            </w:r>
          </w:p>
        </w:tc>
        <w:tc>
          <w:tcPr>
            <w:tcW w:type="dxa" w:w="2033"/>
            <w:vAlign w:val="center"/>
            <w:shd w:fill="FFFFFF"/>
          </w:tcPr>
          <w:p>
            <w:pPr>
              <w:spacing w:after="60"/>
            </w:pPr>
            <w:r>
              <w:rPr>
                <w:b w:val="0"/>
                <w:i w:val="0"/>
                <w:sz w:val="22"/>
              </w:rPr>
              <w:t>45</w:t>
            </w:r>
          </w:p>
        </w:tc>
      </w:tr>
      <w:tr>
        <w:trPr>
          <w:cantSplit/>
        </w:trPr>
        <w:tc>
          <w:tcPr>
            <w:tcW w:type="dxa" w:w="2033"/>
            <w:vAlign w:val="center"/>
            <w:shd w:fill="FFFFFF"/>
          </w:tcPr>
          <w:p>
            <w:pPr>
              <w:spacing w:after="60"/>
            </w:pPr>
            <w:r>
              <w:rPr>
                <w:b/>
                <w:i w:val="0"/>
                <w:sz w:val="22"/>
              </w:rPr>
              <w:t>Mar</w:t>
            </w:r>
          </w:p>
        </w:tc>
        <w:tc>
          <w:tcPr>
            <w:tcW w:type="dxa" w:w="2033"/>
            <w:vAlign w:val="center"/>
            <w:shd w:fill="FFFFFF"/>
          </w:tcPr>
          <w:p>
            <w:pPr>
              <w:spacing w:after="60"/>
            </w:pPr>
            <w:r>
              <w:rPr>
                <w:b w:val="0"/>
                <w:i w:val="0"/>
                <w:sz w:val="22"/>
              </w:rPr>
              <w:t>40.0</w:t>
            </w:r>
          </w:p>
        </w:tc>
        <w:tc>
          <w:tcPr>
            <w:tcW w:type="dxa" w:w="2033"/>
            <w:vAlign w:val="center"/>
            <w:shd w:fill="FFFFFF"/>
          </w:tcPr>
          <w:p>
            <w:pPr>
              <w:spacing w:after="60"/>
            </w:pPr>
            <w:r>
              <w:rPr>
                <w:b w:val="0"/>
                <w:i w:val="0"/>
                <w:sz w:val="22"/>
              </w:rPr>
              <w:t>4.4</w:t>
            </w:r>
          </w:p>
        </w:tc>
        <w:tc>
          <w:tcPr>
            <w:tcW w:type="dxa" w:w="2033"/>
            <w:vAlign w:val="center"/>
            <w:shd w:fill="FFFFFF"/>
          </w:tcPr>
          <w:p>
            <w:pPr>
              <w:spacing w:after="60"/>
            </w:pPr>
            <w:r>
              <w:rPr>
                <w:b w:val="0"/>
                <w:i w:val="0"/>
                <w:sz w:val="22"/>
              </w:rPr>
              <w:t>2.73</w:t>
            </w:r>
          </w:p>
        </w:tc>
        <w:tc>
          <w:tcPr>
            <w:tcW w:type="dxa" w:w="2033"/>
            <w:vAlign w:val="center"/>
            <w:shd w:fill="FFFFFF"/>
          </w:tcPr>
          <w:p>
            <w:pPr>
              <w:spacing w:after="60"/>
            </w:pPr>
            <w:r>
              <w:rPr>
                <w:b w:val="0"/>
                <w:i w:val="0"/>
                <w:sz w:val="22"/>
              </w:rPr>
              <w:t>69</w:t>
            </w:r>
          </w:p>
        </w:tc>
      </w:tr>
      <w:tr>
        <w:trPr>
          <w:cantSplit/>
        </w:trPr>
        <w:tc>
          <w:tcPr>
            <w:tcW w:type="dxa" w:w="2033"/>
            <w:vAlign w:val="center"/>
            <w:shd w:fill="FFFFFF"/>
          </w:tcPr>
          <w:p>
            <w:pPr>
              <w:spacing w:after="60"/>
            </w:pPr>
            <w:r>
              <w:rPr>
                <w:b/>
                <w:i w:val="0"/>
                <w:sz w:val="22"/>
              </w:rPr>
              <w:t>Apr</w:t>
            </w:r>
          </w:p>
        </w:tc>
        <w:tc>
          <w:tcPr>
            <w:tcW w:type="dxa" w:w="2033"/>
            <w:vAlign w:val="center"/>
            <w:shd w:fill="FFFFFF"/>
          </w:tcPr>
          <w:p>
            <w:pPr>
              <w:spacing w:after="60"/>
            </w:pPr>
            <w:r>
              <w:rPr>
                <w:b w:val="0"/>
                <w:i w:val="0"/>
                <w:sz w:val="22"/>
              </w:rPr>
              <w:t>51.1</w:t>
            </w:r>
          </w:p>
        </w:tc>
        <w:tc>
          <w:tcPr>
            <w:tcW w:type="dxa" w:w="2033"/>
            <w:vAlign w:val="center"/>
            <w:shd w:fill="FFFFFF"/>
          </w:tcPr>
          <w:p>
            <w:pPr>
              <w:spacing w:after="60"/>
            </w:pPr>
            <w:r>
              <w:rPr>
                <w:b w:val="0"/>
                <w:i w:val="0"/>
                <w:sz w:val="22"/>
              </w:rPr>
              <w:t>10.6</w:t>
            </w:r>
          </w:p>
        </w:tc>
        <w:tc>
          <w:tcPr>
            <w:tcW w:type="dxa" w:w="2033"/>
            <w:vAlign w:val="center"/>
            <w:shd w:fill="FFFFFF"/>
          </w:tcPr>
          <w:p>
            <w:pPr>
              <w:spacing w:after="60"/>
            </w:pPr>
            <w:r>
              <w:rPr>
                <w:b w:val="0"/>
                <w:i w:val="0"/>
                <w:sz w:val="22"/>
              </w:rPr>
              <w:t>3.84</w:t>
            </w:r>
          </w:p>
        </w:tc>
        <w:tc>
          <w:tcPr>
            <w:tcW w:type="dxa" w:w="2033"/>
            <w:vAlign w:val="center"/>
            <w:shd w:fill="FFFFFF"/>
          </w:tcPr>
          <w:p>
            <w:pPr>
              <w:spacing w:after="60"/>
            </w:pPr>
            <w:r>
              <w:rPr>
                <w:b w:val="0"/>
                <w:i w:val="0"/>
                <w:sz w:val="22"/>
              </w:rPr>
              <w:t>98</w:t>
            </w:r>
          </w:p>
        </w:tc>
      </w:tr>
      <w:tr>
        <w:trPr>
          <w:cantSplit/>
        </w:trPr>
        <w:tc>
          <w:tcPr>
            <w:tcW w:type="dxa" w:w="2033"/>
            <w:vAlign w:val="center"/>
            <w:shd w:fill="FFFFFF"/>
          </w:tcPr>
          <w:p>
            <w:pPr>
              <w:spacing w:after="60"/>
            </w:pPr>
            <w:r>
              <w:rPr>
                <w:b/>
                <w:i w:val="0"/>
                <w:sz w:val="22"/>
              </w:rPr>
              <w:t>May</w:t>
            </w:r>
          </w:p>
        </w:tc>
        <w:tc>
          <w:tcPr>
            <w:tcW w:type="dxa" w:w="2033"/>
            <w:vAlign w:val="center"/>
            <w:shd w:fill="FFFFFF"/>
          </w:tcPr>
          <w:p>
            <w:pPr>
              <w:spacing w:after="60"/>
            </w:pPr>
            <w:r>
              <w:rPr>
                <w:b w:val="0"/>
                <w:i w:val="0"/>
                <w:sz w:val="22"/>
              </w:rPr>
              <w:t>61.6</w:t>
            </w:r>
          </w:p>
        </w:tc>
        <w:tc>
          <w:tcPr>
            <w:tcW w:type="dxa" w:w="2033"/>
            <w:vAlign w:val="center"/>
            <w:shd w:fill="FFFFFF"/>
          </w:tcPr>
          <w:p>
            <w:pPr>
              <w:spacing w:after="60"/>
            </w:pPr>
            <w:r>
              <w:rPr>
                <w:b w:val="0"/>
                <w:i w:val="0"/>
                <w:sz w:val="22"/>
              </w:rPr>
              <w:t>16.4</w:t>
            </w:r>
          </w:p>
        </w:tc>
        <w:tc>
          <w:tcPr>
            <w:tcW w:type="dxa" w:w="2033"/>
            <w:vAlign w:val="center"/>
            <w:shd w:fill="FFFFFF"/>
          </w:tcPr>
          <w:p>
            <w:pPr>
              <w:spacing w:after="60"/>
            </w:pPr>
            <w:r>
              <w:rPr>
                <w:b w:val="0"/>
                <w:i w:val="0"/>
                <w:sz w:val="22"/>
              </w:rPr>
              <w:t>4.04</w:t>
            </w:r>
          </w:p>
        </w:tc>
        <w:tc>
          <w:tcPr>
            <w:tcW w:type="dxa" w:w="2033"/>
            <w:vAlign w:val="center"/>
            <w:shd w:fill="FFFFFF"/>
          </w:tcPr>
          <w:p>
            <w:pPr>
              <w:spacing w:after="60"/>
            </w:pPr>
            <w:r>
              <w:rPr>
                <w:b w:val="0"/>
                <w:i w:val="0"/>
                <w:sz w:val="22"/>
              </w:rPr>
              <w:t>103</w:t>
            </w:r>
          </w:p>
        </w:tc>
      </w:tr>
      <w:tr>
        <w:trPr>
          <w:cantSplit/>
        </w:trPr>
        <w:tc>
          <w:tcPr>
            <w:tcW w:type="dxa" w:w="2033"/>
            <w:vAlign w:val="center"/>
            <w:shd w:fill="FFFFFF"/>
          </w:tcPr>
          <w:p>
            <w:pPr>
              <w:spacing w:after="60"/>
            </w:pPr>
            <w:r>
              <w:rPr>
                <w:b/>
                <w:i w:val="0"/>
                <w:sz w:val="22"/>
              </w:rPr>
              <w:t>Jun</w:t>
            </w:r>
          </w:p>
        </w:tc>
        <w:tc>
          <w:tcPr>
            <w:tcW w:type="dxa" w:w="2033"/>
            <w:vAlign w:val="center"/>
            <w:shd w:fill="FFFFFF"/>
          </w:tcPr>
          <w:p>
            <w:pPr>
              <w:spacing w:after="60"/>
            </w:pPr>
            <w:r>
              <w:rPr>
                <w:b w:val="0"/>
                <w:i w:val="0"/>
                <w:sz w:val="22"/>
              </w:rPr>
              <w:t>70.7</w:t>
            </w:r>
          </w:p>
        </w:tc>
        <w:tc>
          <w:tcPr>
            <w:tcW w:type="dxa" w:w="2033"/>
            <w:vAlign w:val="center"/>
            <w:shd w:fill="FFFFFF"/>
          </w:tcPr>
          <w:p>
            <w:pPr>
              <w:spacing w:after="60"/>
            </w:pPr>
            <w:r>
              <w:rPr>
                <w:b w:val="0"/>
                <w:i w:val="0"/>
                <w:sz w:val="22"/>
              </w:rPr>
              <w:t>21.5</w:t>
            </w:r>
          </w:p>
        </w:tc>
        <w:tc>
          <w:tcPr>
            <w:tcW w:type="dxa" w:w="2033"/>
            <w:vAlign w:val="center"/>
            <w:shd w:fill="FFFFFF"/>
          </w:tcPr>
          <w:p>
            <w:pPr>
              <w:spacing w:after="60"/>
            </w:pPr>
            <w:r>
              <w:rPr>
                <w:b w:val="0"/>
                <w:i w:val="0"/>
                <w:sz w:val="22"/>
              </w:rPr>
              <w:t>4.56</w:t>
            </w:r>
          </w:p>
        </w:tc>
        <w:tc>
          <w:tcPr>
            <w:tcW w:type="dxa" w:w="2033"/>
            <w:vAlign w:val="center"/>
            <w:shd w:fill="FFFFFF"/>
          </w:tcPr>
          <w:p>
            <w:pPr>
              <w:spacing w:after="60"/>
            </w:pPr>
            <w:r>
              <w:rPr>
                <w:b w:val="0"/>
                <w:i w:val="0"/>
                <w:sz w:val="22"/>
              </w:rPr>
              <w:t>116</w:t>
            </w:r>
          </w:p>
        </w:tc>
      </w:tr>
      <w:tr>
        <w:trPr>
          <w:cantSplit/>
        </w:trPr>
        <w:tc>
          <w:tcPr>
            <w:tcW w:type="dxa" w:w="2033"/>
            <w:vAlign w:val="center"/>
            <w:shd w:fill="FFFFFF"/>
          </w:tcPr>
          <w:p>
            <w:pPr>
              <w:spacing w:after="60"/>
            </w:pPr>
            <w:r>
              <w:rPr>
                <w:b/>
                <w:i w:val="0"/>
                <w:sz w:val="22"/>
              </w:rPr>
              <w:t>Jul</w:t>
            </w:r>
          </w:p>
        </w:tc>
        <w:tc>
          <w:tcPr>
            <w:tcW w:type="dxa" w:w="2033"/>
            <w:vAlign w:val="center"/>
            <w:shd w:fill="FFFFFF"/>
          </w:tcPr>
          <w:p>
            <w:pPr>
              <w:spacing w:after="60"/>
            </w:pPr>
            <w:r>
              <w:rPr>
                <w:b w:val="0"/>
                <w:i w:val="0"/>
                <w:sz w:val="22"/>
              </w:rPr>
              <w:t>73.6</w:t>
            </w:r>
          </w:p>
        </w:tc>
        <w:tc>
          <w:tcPr>
            <w:tcW w:type="dxa" w:w="2033"/>
            <w:vAlign w:val="center"/>
            <w:shd w:fill="FFFFFF"/>
          </w:tcPr>
          <w:p>
            <w:pPr>
              <w:spacing w:after="60"/>
            </w:pPr>
            <w:r>
              <w:rPr>
                <w:b w:val="0"/>
                <w:i w:val="0"/>
                <w:sz w:val="22"/>
              </w:rPr>
              <w:t>23.1</w:t>
            </w:r>
          </w:p>
        </w:tc>
        <w:tc>
          <w:tcPr>
            <w:tcW w:type="dxa" w:w="2033"/>
            <w:vAlign w:val="center"/>
            <w:shd w:fill="FFFFFF"/>
          </w:tcPr>
          <w:p>
            <w:pPr>
              <w:spacing w:after="60"/>
            </w:pPr>
            <w:r>
              <w:rPr>
                <w:b w:val="0"/>
                <w:i w:val="0"/>
                <w:sz w:val="22"/>
              </w:rPr>
              <w:t>4.08</w:t>
            </w:r>
          </w:p>
        </w:tc>
        <w:tc>
          <w:tcPr>
            <w:tcW w:type="dxa" w:w="2033"/>
            <w:vAlign w:val="center"/>
            <w:shd w:fill="FFFFFF"/>
          </w:tcPr>
          <w:p>
            <w:pPr>
              <w:spacing w:after="60"/>
            </w:pPr>
            <w:r>
              <w:rPr>
                <w:b w:val="0"/>
                <w:i w:val="0"/>
                <w:sz w:val="22"/>
              </w:rPr>
              <w:t>104</w:t>
            </w:r>
          </w:p>
        </w:tc>
      </w:tr>
      <w:tr>
        <w:trPr>
          <w:cantSplit/>
        </w:trPr>
        <w:tc>
          <w:tcPr>
            <w:tcW w:type="dxa" w:w="2033"/>
            <w:vAlign w:val="center"/>
            <w:shd w:fill="FFFFFF"/>
          </w:tcPr>
          <w:p>
            <w:pPr>
              <w:spacing w:after="60"/>
            </w:pPr>
            <w:r>
              <w:rPr>
                <w:b/>
                <w:i w:val="0"/>
                <w:sz w:val="22"/>
              </w:rPr>
              <w:t>Aug</w:t>
            </w:r>
          </w:p>
        </w:tc>
        <w:tc>
          <w:tcPr>
            <w:tcW w:type="dxa" w:w="2033"/>
            <w:vAlign w:val="center"/>
            <w:shd w:fill="FFFFFF"/>
          </w:tcPr>
          <w:p>
            <w:pPr>
              <w:spacing w:after="60"/>
            </w:pPr>
            <w:r>
              <w:rPr>
                <w:b w:val="0"/>
                <w:i w:val="0"/>
                <w:sz w:val="22"/>
              </w:rPr>
              <w:t>72.2</w:t>
            </w:r>
          </w:p>
        </w:tc>
        <w:tc>
          <w:tcPr>
            <w:tcW w:type="dxa" w:w="2033"/>
            <w:vAlign w:val="center"/>
            <w:shd w:fill="FFFFFF"/>
          </w:tcPr>
          <w:p>
            <w:pPr>
              <w:spacing w:after="60"/>
            </w:pPr>
            <w:r>
              <w:rPr>
                <w:b w:val="0"/>
                <w:i w:val="0"/>
                <w:sz w:val="22"/>
              </w:rPr>
              <w:t>22.3</w:t>
            </w:r>
          </w:p>
        </w:tc>
        <w:tc>
          <w:tcPr>
            <w:tcW w:type="dxa" w:w="2033"/>
            <w:vAlign w:val="center"/>
            <w:shd w:fill="FFFFFF"/>
          </w:tcPr>
          <w:p>
            <w:pPr>
              <w:spacing w:after="60"/>
            </w:pPr>
            <w:r>
              <w:rPr>
                <w:b w:val="0"/>
                <w:i w:val="0"/>
                <w:sz w:val="22"/>
              </w:rPr>
              <w:t>3.12</w:t>
            </w:r>
          </w:p>
        </w:tc>
        <w:tc>
          <w:tcPr>
            <w:tcW w:type="dxa" w:w="2033"/>
            <w:vAlign w:val="center"/>
            <w:shd w:fill="FFFFFF"/>
          </w:tcPr>
          <w:p>
            <w:pPr>
              <w:spacing w:after="60"/>
            </w:pPr>
            <w:r>
              <w:rPr>
                <w:b w:val="0"/>
                <w:i w:val="0"/>
                <w:sz w:val="22"/>
              </w:rPr>
              <w:t>79</w:t>
            </w:r>
          </w:p>
        </w:tc>
      </w:tr>
      <w:tr>
        <w:trPr>
          <w:cantSplit/>
        </w:trPr>
        <w:tc>
          <w:tcPr>
            <w:tcW w:type="dxa" w:w="2033"/>
            <w:vAlign w:val="center"/>
            <w:shd w:fill="FFFFFF"/>
          </w:tcPr>
          <w:p>
            <w:pPr>
              <w:spacing w:after="60"/>
            </w:pPr>
            <w:r>
              <w:rPr>
                <w:b/>
                <w:i w:val="0"/>
                <w:sz w:val="22"/>
              </w:rPr>
              <w:t>Sep</w:t>
            </w:r>
          </w:p>
        </w:tc>
        <w:tc>
          <w:tcPr>
            <w:tcW w:type="dxa" w:w="2033"/>
            <w:vAlign w:val="center"/>
            <w:shd w:fill="FFFFFF"/>
          </w:tcPr>
          <w:p>
            <w:pPr>
              <w:spacing w:after="60"/>
            </w:pPr>
            <w:r>
              <w:rPr>
                <w:b w:val="0"/>
                <w:i w:val="0"/>
                <w:sz w:val="22"/>
              </w:rPr>
              <w:t>65.5</w:t>
            </w:r>
          </w:p>
        </w:tc>
        <w:tc>
          <w:tcPr>
            <w:tcW w:type="dxa" w:w="2033"/>
            <w:vAlign w:val="center"/>
            <w:shd w:fill="FFFFFF"/>
          </w:tcPr>
          <w:p>
            <w:pPr>
              <w:spacing w:after="60"/>
            </w:pPr>
            <w:r>
              <w:rPr>
                <w:b w:val="0"/>
                <w:i w:val="0"/>
                <w:sz w:val="22"/>
              </w:rPr>
              <w:t>18.6</w:t>
            </w:r>
          </w:p>
        </w:tc>
        <w:tc>
          <w:tcPr>
            <w:tcW w:type="dxa" w:w="2033"/>
            <w:vAlign w:val="center"/>
            <w:shd w:fill="FFFFFF"/>
          </w:tcPr>
          <w:p>
            <w:pPr>
              <w:spacing w:after="60"/>
            </w:pPr>
            <w:r>
              <w:rPr>
                <w:b w:val="0"/>
                <w:i w:val="0"/>
                <w:sz w:val="22"/>
              </w:rPr>
              <w:t>2.59</w:t>
            </w:r>
          </w:p>
        </w:tc>
        <w:tc>
          <w:tcPr>
            <w:tcW w:type="dxa" w:w="2033"/>
            <w:vAlign w:val="center"/>
            <w:shd w:fill="FFFFFF"/>
          </w:tcPr>
          <w:p>
            <w:pPr>
              <w:spacing w:after="60"/>
            </w:pPr>
            <w:r>
              <w:rPr>
                <w:b w:val="0"/>
                <w:i w:val="0"/>
                <w:sz w:val="22"/>
              </w:rPr>
              <w:t>66</w:t>
            </w:r>
          </w:p>
        </w:tc>
      </w:tr>
      <w:tr>
        <w:trPr>
          <w:cantSplit/>
        </w:trPr>
        <w:tc>
          <w:tcPr>
            <w:tcW w:type="dxa" w:w="2033"/>
            <w:vAlign w:val="center"/>
            <w:shd w:fill="FFFFFF"/>
          </w:tcPr>
          <w:p>
            <w:pPr>
              <w:spacing w:after="60"/>
            </w:pPr>
            <w:r>
              <w:rPr>
                <w:b/>
                <w:i w:val="0"/>
                <w:sz w:val="22"/>
              </w:rPr>
              <w:t>Oct</w:t>
            </w:r>
          </w:p>
        </w:tc>
        <w:tc>
          <w:tcPr>
            <w:tcW w:type="dxa" w:w="2033"/>
            <w:vAlign w:val="center"/>
            <w:shd w:fill="FFFFFF"/>
          </w:tcPr>
          <w:p>
            <w:pPr>
              <w:spacing w:after="60"/>
            </w:pPr>
            <w:r>
              <w:rPr>
                <w:b w:val="0"/>
                <w:i w:val="0"/>
                <w:sz w:val="22"/>
              </w:rPr>
              <w:t>53.7</w:t>
            </w:r>
          </w:p>
        </w:tc>
        <w:tc>
          <w:tcPr>
            <w:tcW w:type="dxa" w:w="2033"/>
            <w:vAlign w:val="center"/>
            <w:shd w:fill="FFFFFF"/>
          </w:tcPr>
          <w:p>
            <w:pPr>
              <w:spacing w:after="60"/>
            </w:pPr>
            <w:r>
              <w:rPr>
                <w:b w:val="0"/>
                <w:i w:val="0"/>
                <w:sz w:val="22"/>
              </w:rPr>
              <w:t>12.1</w:t>
            </w:r>
          </w:p>
        </w:tc>
        <w:tc>
          <w:tcPr>
            <w:tcW w:type="dxa" w:w="2033"/>
            <w:vAlign w:val="center"/>
            <w:shd w:fill="FFFFFF"/>
          </w:tcPr>
          <w:p>
            <w:pPr>
              <w:spacing w:after="60"/>
            </w:pPr>
            <w:r>
              <w:rPr>
                <w:b w:val="0"/>
                <w:i w:val="0"/>
                <w:sz w:val="22"/>
              </w:rPr>
              <w:t>2.91</w:t>
            </w:r>
          </w:p>
        </w:tc>
        <w:tc>
          <w:tcPr>
            <w:tcW w:type="dxa" w:w="2033"/>
            <w:vAlign w:val="center"/>
            <w:shd w:fill="FFFFFF"/>
          </w:tcPr>
          <w:p>
            <w:pPr>
              <w:spacing w:after="60"/>
            </w:pPr>
            <w:r>
              <w:rPr>
                <w:b w:val="0"/>
                <w:i w:val="0"/>
                <w:sz w:val="22"/>
              </w:rPr>
              <w:t>74</w:t>
            </w:r>
          </w:p>
        </w:tc>
      </w:tr>
      <w:tr>
        <w:trPr>
          <w:cantSplit/>
        </w:trPr>
        <w:tc>
          <w:tcPr>
            <w:tcW w:type="dxa" w:w="2033"/>
            <w:vAlign w:val="center"/>
            <w:shd w:fill="FFFFFF"/>
          </w:tcPr>
          <w:p>
            <w:pPr>
              <w:spacing w:after="60"/>
            </w:pPr>
            <w:r>
              <w:rPr>
                <w:b/>
                <w:i w:val="0"/>
                <w:sz w:val="22"/>
              </w:rPr>
              <w:t>Nov</w:t>
            </w:r>
          </w:p>
        </w:tc>
        <w:tc>
          <w:tcPr>
            <w:tcW w:type="dxa" w:w="2033"/>
            <w:vAlign w:val="center"/>
            <w:shd w:fill="FFFFFF"/>
          </w:tcPr>
          <w:p>
            <w:pPr>
              <w:spacing w:after="60"/>
            </w:pPr>
            <w:r>
              <w:rPr>
                <w:b w:val="0"/>
                <w:i w:val="0"/>
                <w:sz w:val="22"/>
              </w:rPr>
              <w:t>41.3</w:t>
            </w:r>
          </w:p>
        </w:tc>
        <w:tc>
          <w:tcPr>
            <w:tcW w:type="dxa" w:w="2033"/>
            <w:vAlign w:val="center"/>
            <w:shd w:fill="FFFFFF"/>
          </w:tcPr>
          <w:p>
            <w:pPr>
              <w:spacing w:after="60"/>
            </w:pPr>
            <w:r>
              <w:rPr>
                <w:b w:val="0"/>
                <w:i w:val="0"/>
                <w:sz w:val="22"/>
              </w:rPr>
              <w:t>5.2</w:t>
            </w:r>
          </w:p>
        </w:tc>
        <w:tc>
          <w:tcPr>
            <w:tcW w:type="dxa" w:w="2033"/>
            <w:vAlign w:val="center"/>
            <w:shd w:fill="FFFFFF"/>
          </w:tcPr>
          <w:p>
            <w:pPr>
              <w:spacing w:after="60"/>
            </w:pPr>
            <w:r>
              <w:rPr>
                <w:b w:val="0"/>
                <w:i w:val="0"/>
                <w:sz w:val="22"/>
              </w:rPr>
              <w:t>2.87</w:t>
            </w:r>
          </w:p>
        </w:tc>
        <w:tc>
          <w:tcPr>
            <w:tcW w:type="dxa" w:w="2033"/>
            <w:vAlign w:val="center"/>
            <w:shd w:fill="FFFFFF"/>
          </w:tcPr>
          <w:p>
            <w:pPr>
              <w:spacing w:after="60"/>
            </w:pPr>
            <w:r>
              <w:rPr>
                <w:b w:val="0"/>
                <w:i w:val="0"/>
                <w:sz w:val="22"/>
              </w:rPr>
              <w:t>73</w:t>
            </w:r>
          </w:p>
        </w:tc>
      </w:tr>
      <w:tr>
        <w:trPr>
          <w:cantSplit/>
        </w:trPr>
        <w:tc>
          <w:tcPr>
            <w:tcW w:type="dxa" w:w="2033"/>
            <w:vAlign w:val="center"/>
            <w:shd w:fill="FFFFFF"/>
          </w:tcPr>
          <w:p>
            <w:pPr>
              <w:spacing w:after="60"/>
            </w:pPr>
            <w:r>
              <w:rPr>
                <w:b/>
                <w:i w:val="0"/>
                <w:sz w:val="22"/>
              </w:rPr>
              <w:t>Dec</w:t>
            </w:r>
          </w:p>
        </w:tc>
        <w:tc>
          <w:tcPr>
            <w:tcW w:type="dxa" w:w="2033"/>
            <w:vAlign w:val="center"/>
            <w:shd w:fill="FFFFFF"/>
          </w:tcPr>
          <w:p>
            <w:pPr>
              <w:spacing w:after="60"/>
            </w:pPr>
            <w:r>
              <w:rPr>
                <w:b w:val="0"/>
                <w:i w:val="0"/>
                <w:sz w:val="22"/>
              </w:rPr>
              <w:t>31.0</w:t>
            </w:r>
          </w:p>
        </w:tc>
        <w:tc>
          <w:tcPr>
            <w:tcW w:type="dxa" w:w="2033"/>
            <w:vAlign w:val="center"/>
            <w:shd w:fill="FFFFFF"/>
          </w:tcPr>
          <w:p>
            <w:pPr>
              <w:spacing w:after="60"/>
            </w:pPr>
            <w:r>
              <w:rPr>
                <w:b w:val="0"/>
                <w:i w:val="0"/>
                <w:sz w:val="22"/>
              </w:rPr>
              <w:t>-0.6</w:t>
            </w:r>
          </w:p>
        </w:tc>
        <w:tc>
          <w:tcPr>
            <w:tcW w:type="dxa" w:w="2033"/>
            <w:vAlign w:val="center"/>
            <w:shd w:fill="FFFFFF"/>
          </w:tcPr>
          <w:p>
            <w:pPr>
              <w:spacing w:after="60"/>
            </w:pPr>
            <w:r>
              <w:rPr>
                <w:b w:val="0"/>
                <w:i w:val="0"/>
                <w:sz w:val="22"/>
              </w:rPr>
              <w:t>2.29</w:t>
            </w:r>
          </w:p>
        </w:tc>
        <w:tc>
          <w:tcPr>
            <w:tcW w:type="dxa" w:w="2033"/>
            <w:vAlign w:val="center"/>
            <w:shd w:fill="FFFFFF"/>
          </w:tcPr>
          <w:p>
            <w:pPr>
              <w:spacing w:after="60"/>
            </w:pPr>
            <w:r>
              <w:rPr>
                <w:b w:val="0"/>
                <w:i w:val="0"/>
                <w:sz w:val="22"/>
              </w:rPr>
              <w:t>58</w:t>
            </w:r>
          </w:p>
        </w:tc>
      </w:tr>
    </w:tbl>
    <w:p>
      <w:pPr>
        <w:spacing w:after="20"/>
      </w:pPr>
    </w:p>
    <w:p>
      <w:pPr>
        <w:pStyle w:val="Heading2"/>
      </w:pPr>
      <w:r>
        <w:t>Seasonal activity</w:t>
      </w:r>
    </w:p>
    <w:p>
      <w:r>
        <w:rPr>
          <w:b w:val="0"/>
          <w:i w:val="0"/>
        </w:rPr>
        <w:t>Compare indoor sightings with outdoor heat and dryness, while keeping a separate record of winged ants. A change in foraging can reflect food or shelter changes as well as weather.</w:t>
      </w:r>
    </w:p>
    <w:p>
      <w:r>
        <w:rPr>
          <w:b w:val="0"/>
          <w:i w:val="0"/>
        </w:rPr>
        <w:t>Mating flights are generally reported from late July into early autumn. Indoor foraging is especially noticeable during hot weather, but location and shelter modify the pattern. [ID, Thief]</w:t>
      </w:r>
    </w:p>
    <w:p>
      <w:pPr>
        <w:pStyle w:val="Heading2"/>
      </w:pPr>
      <w:r>
        <w:t>The nest has its own climate</w:t>
      </w:r>
    </w:p>
    <w:p>
      <w:r>
        <w:rPr>
          <w:b w:val="0"/>
          <w:i w:val="0"/>
        </w:rPr>
        <w:t>The environment inside a cabinet or wall void can differ from outdoor air. Note heated rooms, plumbing, food storage, and the date when the first workers were noticed.</w:t>
      </w:r>
    </w:p>
    <w:p>
      <w:r>
        <w:rPr>
          <w:b w:val="0"/>
          <w:i w:val="0"/>
        </w:rPr>
        <w:t>Sun, cover, soil depth, and indoor heating can shift exposure within a few steps. No single temperature or humidity target should be inferred from this regional climate table.</w:t>
      </w:r>
    </w:p>
    <w:p>
      <w:pPr>
        <w:pStyle w:val="Heading2"/>
      </w:pPr>
      <w:r>
        <w:t>Weather extremes and future change</w:t>
      </w:r>
    </w:p>
    <w:p>
      <w:r>
        <w:rPr>
          <w:b w:val="0"/>
          <w:i w:val="0"/>
        </w:rPr>
        <w:t>NOAA’s 2022 Indiana assessment projects warmer conditions and increased risks from heavy precipitation, while greater evaporation can intensify drought. These are regional projections; they do not predict the abundance of an individual ant species. [Climate]</w:t>
      </w:r>
    </w:p>
    <w:p>
      <w:r>
        <w:rPr>
          <w:b w:val="0"/>
          <w:i w:val="0"/>
        </w:rPr>
        <w:t>Observation suggestion: record the first spring workers and each swarm with the date, time, recent rain, and location. Compare several years before attributing a change to climate rather than food availability, habitat change, or observation effort.</w:t>
      </w:r>
    </w:p>
    <w:p>
      <w:pPr>
        <w:pStyle w:val="Heading2"/>
      </w:pPr>
      <w:r>
        <w:t>References</w:t>
      </w:r>
    </w:p>
    <w:p>
      <w:pPr>
        <w:pStyle w:val="Heading2"/>
      </w:pPr>
      <w:r>
        <w:t>Related Information Sheets</w:t>
      </w:r>
    </w:p>
    <w:p>
      <w:r>
        <w:rPr>
          <w:b w:val="0"/>
          <w:i w:val="0"/>
        </w:rPr>
        <w:t xml:space="preserve">Added September 22, 2026 · </w:t>
      </w:r>
      <w:hyperlink r:id="rId23">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Thief Ant — Ecology</w:t>
      </w:r>
    </w:p>
    <w:p>
      <w:r>
        <w:rPr>
          <w:b/>
        </w:rPr>
        <w:t xml:space="preserve">Online Information Sheet: </w:t>
      </w:r>
      <w:hyperlink r:id="rId26">
        <w:r>
          <w:rPr>
            <w:color w:val="245B43"/>
            <w:u w:val="single"/>
          </w:rPr>
          <w:t>planteducationproject.com/animals/thief-ant/ecology/</w:t>
        </w:r>
      </w:hyperlink>
    </w:p>
    <w:p>
      <w:r>
        <w:rPr>
          <w:b w:val="0"/>
          <w:i w:val="0"/>
        </w:rPr>
        <w:t>🌿 Ecology Information Sheet</w:t>
      </w:r>
    </w:p>
    <w:p>
      <w:r>
        <w:rPr>
          <w:b w:val="0"/>
          <w:i/>
        </w:rPr>
        <w:t>Solenopsis molesta</w:t>
      </w:r>
    </w:p>
    <w:p>
      <w:r>
        <w:rPr>
          <w:b w:val="0"/>
          <w:i w:val="0"/>
        </w:rPr>
        <w:t>Follow this ant’s feeding, nesting, and relationships with plants and other animals to understand its role in the local community.</w:t>
      </w:r>
    </w:p>
    <w:p>
      <w:pPr>
        <w:jc w:val="center"/>
      </w:pPr>
      <w:r>
        <w:drawing>
          <wp:inline xmlns:a="http://schemas.openxmlformats.org/drawingml/2006/main" xmlns:pic="http://schemas.openxmlformats.org/drawingml/2006/picture">
            <wp:extent cx="5120640" cy="3855990"/>
            <wp:docPr id="5" name="Picture 5"/>
            <wp:cNvGraphicFramePr>
              <a:graphicFrameLocks noChangeAspect="1"/>
            </wp:cNvGraphicFramePr>
            <a:graphic>
              <a:graphicData uri="http://schemas.openxmlformats.org/drawingml/2006/picture">
                <pic:pic>
                  <pic:nvPicPr>
                    <pic:cNvPr id="0" name="fba29d8f39276dcd3bd7c8a0.jpg"/>
                    <pic:cNvPicPr/>
                  </pic:nvPicPr>
                  <pic:blipFill>
                    <a:blip r:embed="rId12"/>
                    <a:stretch>
                      <a:fillRect/>
                    </a:stretch>
                  </pic:blipFill>
                  <pic:spPr>
                    <a:xfrm>
                      <a:off x="0" y="0"/>
                      <a:ext cx="5120640" cy="3855990"/>
                    </a:xfrm>
                    <a:prstGeom prst="rect"/>
                  </pic:spPr>
                </pic:pic>
              </a:graphicData>
            </a:graphic>
          </wp:inline>
        </w:drawing>
      </w:r>
    </w:p>
    <w:p>
      <w:pPr>
        <w:pStyle w:val="Caption"/>
      </w:pPr>
      <w:r>
        <w:rPr>
          <w:b w:val="0"/>
          <w:i w:val="0"/>
        </w:rPr>
        <w:t>AntWeb worker profile of Solenopsis molesta. The scale bar is 0.2 mm.</w:t>
      </w:r>
      <w:r>
        <w:br/>
      </w:r>
      <w:r>
        <w:t xml:space="preserve">Photograph: Michael Branstetter · </w:t>
      </w:r>
      <w:hyperlink r:id="rId13">
        <w:r>
          <w:rPr>
            <w:color w:val="245B43"/>
            <w:u w:val="single"/>
          </w:rPr>
          <w:t>Original source</w:t>
        </w:r>
      </w:hyperlink>
      <w:r>
        <w:t xml:space="preserve"> · </w:t>
      </w:r>
      <w:hyperlink r:id="rId14">
        <w:r>
          <w:rPr>
            <w:color w:val="245B43"/>
            <w:u w:val="single"/>
          </w:rPr>
          <w:t>CC BY 4.0</w:t>
        </w:r>
      </w:hyperlink>
      <w:r>
        <w:t>. Resized proportionally.</w:t>
      </w:r>
    </w:p>
    <w:p>
      <w:pPr>
        <w:pStyle w:val="Heading2"/>
      </w:pPr>
      <w:r>
        <w:t>Food web role</w:t>
      </w:r>
    </w:p>
    <w:p>
      <w:r>
        <w:rPr>
          <w:b w:val="0"/>
          <w:i w:val="0"/>
        </w:rPr>
        <w:t>Their small size allows them to exploit the margins of larger ant colonies and take brood or food. This is an interspecific interaction within the soil community, not evidence that the entire ant community is harmful. [Thief]</w:t>
      </w:r>
    </w:p>
    <w:p>
      <w:pPr>
        <w:pStyle w:val="Heading2"/>
      </w:pPr>
      <w:r>
        <w:t>Relationships with plants</w:t>
      </w:r>
    </w:p>
    <w:p>
      <w:r>
        <w:rPr>
          <w:b w:val="0"/>
          <w:i w:val="0"/>
        </w:rPr>
        <w:t>Thief ants are best understood as small predators, scavengers, and food thieves. Their presence around a plant does not establish herbivory or beneficial seed dispersal.</w:t>
      </w:r>
    </w:p>
    <w:p>
      <w:r>
        <w:rPr>
          <w:b w:val="0"/>
          <w:i w:val="0"/>
        </w:rPr>
        <w:t>When ants visit a plant, distinguish feeding on plant tissue, gathering nectar or honeydew, hunting, and simple passage. Seeing ants on a flower does not establish effective pollination. [UC]</w:t>
      </w:r>
    </w:p>
    <w:p>
      <w:pPr>
        <w:pStyle w:val="Heading2"/>
      </w:pPr>
      <w:r>
        <w:t>Colony and community</w:t>
      </w:r>
    </w:p>
    <w:p>
      <w:r>
        <w:rPr>
          <w:b w:val="0"/>
          <w:i w:val="0"/>
        </w:rPr>
        <w:t>Colonies may have several queens. Workers tend eggs, larvae, and pupae in small concealed chambers. New colonies can begin after reproductive flights; the presence of one tiny worker does not locate the colony.</w:t>
      </w:r>
    </w:p>
    <w:p>
      <w:r>
        <w:rPr>
          <w:b w:val="0"/>
          <w:i w:val="0"/>
        </w:rPr>
        <w:t>Tiny native ant; can contaminate stored food indoors. Morris lists Tippecanoe County for Solenopsis molesta. The record is historical and does not identify a present-day household infestation. [IN]</w:t>
      </w:r>
    </w:p>
    <w:p>
      <w:pPr>
        <w:pStyle w:val="Heading2"/>
      </w:pPr>
      <w:r>
        <w:t>A question to investigate</w:t>
      </w:r>
    </w:p>
    <w:p>
      <w:r>
        <w:rPr>
          <w:b w:val="0"/>
          <w:i w:val="0"/>
        </w:rPr>
        <w:t>Are workers collecting spilled food, carrying another insect, or entering a neighboring ant nest?</w:t>
      </w:r>
    </w:p>
    <w:p>
      <w:r>
        <w:rPr>
          <w:b w:val="0"/>
          <w:i w:val="0"/>
        </w:rPr>
        <w:t>Observe for five minutes on at least three occasions. Record what workers carry or contact, note the weather, and include a nearby comparison area. Visible traffic is not a measure of total colony size.</w:t>
      </w:r>
    </w:p>
    <w:p>
      <w:pPr>
        <w:pStyle w:val="Heading2"/>
      </w:pPr>
      <w:r>
        <w:t>Management implication</w:t>
      </w:r>
    </w:p>
    <w:p>
      <w:r>
        <w:rPr>
          <w:b w:val="0"/>
          <w:i w:val="0"/>
        </w:rPr>
        <w:t>Remove contaminated food, clean grease residues, and store food in well-sealed rigid containers. Confirm thief ant versus pharaoh ant before treatment. Persistent infestations often need professional identification and follow-up.</w:t>
      </w:r>
    </w:p>
    <w:p>
      <w:r>
        <w:rPr>
          <w:b w:val="0"/>
          <w:i w:val="0"/>
        </w:rPr>
        <w:t>Retain the observation record after any action. Compare the original problem, plant condition, and ant traffic rather than using the disappearance of every ant as the goal. [UC]</w:t>
      </w:r>
    </w:p>
    <w:p>
      <w:pPr>
        <w:pStyle w:val="Heading2"/>
      </w:pPr>
      <w:r>
        <w:t>Useful terms</w:t>
      </w:r>
    </w:p>
    <w:p>
      <w:r>
        <w:rPr>
          <w:b w:val="0"/>
          <w:i w:val="0"/>
        </w:rPr>
        <w:t>Honeydew is sugary excretion from sap-feeding insects. Brood means eggs, larvae, and pupae. A mutualism benefits both partners.</w:t>
      </w:r>
    </w:p>
    <w:p>
      <w:pPr>
        <w:pStyle w:val="Heading2"/>
      </w:pPr>
      <w:r>
        <w:t>Related Information Sheets</w:t>
      </w:r>
    </w:p>
    <w:p>
      <w:r>
        <w:rPr>
          <w:b w:val="0"/>
          <w:i w:val="0"/>
        </w:rPr>
        <w:t xml:space="preserve">Added September 22, 2026 · </w:t>
      </w:r>
      <w:hyperlink r:id="rId23">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Thief Ant — Environment</w:t>
      </w:r>
    </w:p>
    <w:p>
      <w:r>
        <w:rPr>
          <w:b/>
        </w:rPr>
        <w:t xml:space="preserve">Online Information Sheet: </w:t>
      </w:r>
      <w:hyperlink r:id="rId27">
        <w:r>
          <w:rPr>
            <w:color w:val="245B43"/>
            <w:u w:val="single"/>
          </w:rPr>
          <w:t>planteducationproject.com/animals/thief-ant/environment/</w:t>
        </w:r>
      </w:hyperlink>
    </w:p>
    <w:p>
      <w:r>
        <w:rPr>
          <w:b w:val="0"/>
          <w:i w:val="0"/>
        </w:rPr>
        <w:t>🌿 Environment Information Sheet</w:t>
      </w:r>
    </w:p>
    <w:p>
      <w:r>
        <w:rPr>
          <w:b w:val="0"/>
          <w:i/>
        </w:rPr>
        <w:t>Solenopsis molesta</w:t>
      </w:r>
    </w:p>
    <w:p>
      <w:r>
        <w:rPr>
          <w:b w:val="0"/>
          <w:i w:val="0"/>
        </w:rPr>
        <w:t>The nest environment explains where this ant can live and how it reaches food. Compare soil, shelter, moisture, and nearby vegetation before treating an entire landscape as one habitat.</w:t>
      </w:r>
    </w:p>
    <w:p>
      <w:pPr>
        <w:jc w:val="center"/>
      </w:pPr>
      <w:r>
        <w:drawing>
          <wp:inline xmlns:a="http://schemas.openxmlformats.org/drawingml/2006/main" xmlns:pic="http://schemas.openxmlformats.org/drawingml/2006/picture">
            <wp:extent cx="5120640" cy="3413760"/>
            <wp:docPr id="6" name="Picture 6"/>
            <wp:cNvGraphicFramePr>
              <a:graphicFrameLocks noChangeAspect="1"/>
            </wp:cNvGraphicFramePr>
            <a:graphic>
              <a:graphicData uri="http://schemas.openxmlformats.org/drawingml/2006/picture">
                <pic:pic>
                  <pic:nvPicPr>
                    <pic:cNvPr id="0" name="6dd72f1e04f2fd43a095b319.jpg"/>
                    <pic:cNvPicPr/>
                  </pic:nvPicPr>
                  <pic:blipFill>
                    <a:blip r:embed="rId18"/>
                    <a:stretch>
                      <a:fillRect/>
                    </a:stretch>
                  </pic:blipFill>
                  <pic:spPr>
                    <a:xfrm>
                      <a:off x="0" y="0"/>
                      <a:ext cx="5120640" cy="3413760"/>
                    </a:xfrm>
                    <a:prstGeom prst="rect"/>
                  </pic:spPr>
                </pic:pic>
              </a:graphicData>
            </a:graphic>
          </wp:inline>
        </w:drawing>
      </w:r>
    </w:p>
    <w:p>
      <w:pPr>
        <w:pStyle w:val="Caption"/>
      </w:pPr>
      <w:r>
        <w:rPr>
          <w:b w:val="0"/>
          <w:i w:val="0"/>
        </w:rPr>
        <w:t>Turkey Run SP, IN 2.jpg • Daniel Schwen • CC BY-SA 4.0</w:t>
      </w:r>
      <w:r>
        <w:br/>
      </w:r>
      <w:r>
        <w:t xml:space="preserve">Photograph: Daniel Schwen · </w:t>
      </w:r>
      <w:hyperlink r:id="rId19">
        <w:r>
          <w:rPr>
            <w:color w:val="245B43"/>
            <w:u w:val="single"/>
          </w:rPr>
          <w:t>Original source</w:t>
        </w:r>
      </w:hyperlink>
      <w:r>
        <w:t xml:space="preserve"> · </w:t>
      </w:r>
      <w:hyperlink r:id="rId17">
        <w:r>
          <w:rPr>
            <w:color w:val="245B43"/>
            <w:u w:val="single"/>
          </w:rPr>
          <w:t>CC BY-SA 4.0</w:t>
        </w:r>
      </w:hyperlink>
      <w:r>
        <w:t>. Resized proportionally.</w:t>
      </w:r>
    </w:p>
    <w:p>
      <w:pPr>
        <w:jc w:val="center"/>
      </w:pPr>
      <w:r>
        <w:drawing>
          <wp:inline xmlns:a="http://schemas.openxmlformats.org/drawingml/2006/main" xmlns:pic="http://schemas.openxmlformats.org/drawingml/2006/picture">
            <wp:extent cx="5120640" cy="3840480"/>
            <wp:docPr id="7" name="Picture 7"/>
            <wp:cNvGraphicFramePr>
              <a:graphicFrameLocks noChangeAspect="1"/>
            </wp:cNvGraphicFramePr>
            <a:graphic>
              <a:graphicData uri="http://schemas.openxmlformats.org/drawingml/2006/picture">
                <pic:pic>
                  <pic:nvPicPr>
                    <pic:cNvPr id="0" name="283fcc6808ca00b87a983a57.jpg"/>
                    <pic:cNvPicPr/>
                  </pic:nvPicPr>
                  <pic:blipFill>
                    <a:blip r:embed="rId20"/>
                    <a:stretch>
                      <a:fillRect/>
                    </a:stretch>
                  </pic:blipFill>
                  <pic:spPr>
                    <a:xfrm>
                      <a:off x="0" y="0"/>
                      <a:ext cx="5120640" cy="3840480"/>
                    </a:xfrm>
                    <a:prstGeom prst="rect"/>
                  </pic:spPr>
                </pic:pic>
              </a:graphicData>
            </a:graphic>
          </wp:inline>
        </w:drawing>
      </w:r>
    </w:p>
    <w:p>
      <w:pPr>
        <w:pStyle w:val="Caption"/>
      </w:pPr>
      <w:r>
        <w:rPr>
          <w:b w:val="0"/>
          <w:i w:val="0"/>
        </w:rPr>
        <w:t>Hoosier Prairie P7150009.jpg • Chris Light, National Park Service • Public domain</w:t>
      </w:r>
      <w:r>
        <w:br/>
      </w:r>
      <w:r>
        <w:t xml:space="preserve">Photograph: Chris Light, National Park Service · </w:t>
      </w:r>
      <w:hyperlink r:id="rId21">
        <w:r>
          <w:rPr>
            <w:color w:val="245B43"/>
            <w:u w:val="single"/>
          </w:rPr>
          <w:t>Original source</w:t>
        </w:r>
      </w:hyperlink>
      <w:r>
        <w:t xml:space="preserve"> · </w:t>
      </w:r>
      <w:hyperlink r:id="rId22">
        <w:r>
          <w:rPr>
            <w:color w:val="245B43"/>
            <w:u w:val="single"/>
          </w:rPr>
          <w:t>Public domain</w:t>
        </w:r>
      </w:hyperlink>
      <w:r>
        <w:t>. Resized proportionally.</w:t>
      </w:r>
    </w:p>
    <w:p>
      <w:pPr>
        <w:pStyle w:val="Heading2"/>
      </w:pPr>
      <w:r>
        <w:t>Habitat and shelter</w:t>
      </w:r>
    </w:p>
    <w:p>
      <w:r>
        <w:rPr>
          <w:b w:val="0"/>
          <w:i w:val="0"/>
        </w:rPr>
        <w:t>Soil, rotting wood, and spaces beneath stones or other objects. Nests may be close to other ant colonies. Indoors, small cavities and cracks offer concealed nesting sites. [ID]</w:t>
      </w:r>
    </w:p>
    <w:p>
      <w:pPr>
        <w:pStyle w:val="Heading2"/>
      </w:pPr>
      <w:r>
        <w:t>Water and the nesting substrate</w:t>
      </w:r>
    </w:p>
    <w:p>
      <w:r>
        <w:rPr>
          <w:b w:val="0"/>
          <w:i w:val="0"/>
        </w:rPr>
        <w:t>The ants can use narrow routes through soil and building materials. Kitchen food residues and unnoticed crevices can matter more than a conspicuous outdoor mound.</w:t>
      </w:r>
    </w:p>
    <w:p>
      <w:pPr>
        <w:pStyle w:val="Heading2"/>
      </w:pPr>
      <w:r>
        <w:t>Food routes and vegetation</w:t>
      </w:r>
    </w:p>
    <w:p>
      <w:r>
        <w:rPr>
          <w:b w:val="0"/>
          <w:i w:val="0"/>
        </w:rPr>
        <w:t>Takes insect brood and varied foods, including fats and proteins. Tiny workers can exploit narrow pathways into stored products. Sweet foods may also be used, so food choice alone is not diagnostic.</w:t>
      </w:r>
    </w:p>
    <w:p>
      <w:r>
        <w:rPr>
          <w:b w:val="0"/>
          <w:i w:val="0"/>
        </w:rPr>
        <w:t>Thief ants are best understood as small predators, scavengers, and food thieves. Their presence around a plant does not establish herbivory or beneficial seed dispersal. [ID, UC]</w:t>
      </w:r>
    </w:p>
    <w:p>
      <w:pPr>
        <w:pStyle w:val="Heading2"/>
      </w:pPr>
      <w:r>
        <w:t>Comparison with Lafayette</w:t>
      </w:r>
    </w:p>
    <w:p>
      <w:r>
        <w:rPr>
          <w:b w:val="0"/>
          <w:i w:val="0"/>
        </w:rPr>
        <w:t>The environment inside a cabinet or wall void can differ from outdoor air. Note heated rooms, plumbing, food storage, and the date when the first workers were noticed.</w:t>
      </w:r>
    </w:p>
    <w:p>
      <w:r>
        <w:rPr>
          <w:b w:val="0"/>
          <w:i w:val="0"/>
        </w:rPr>
        <w:t>Morris lists Tippecanoe County for Solenopsis molesta. The record is historical and does not identify a present-day household infestation. [IN]</w:t>
      </w:r>
    </w:p>
    <w:p>
      <w:pPr>
        <w:pStyle w:val="Heading2"/>
      </w:pPr>
      <w:r>
        <w:t>Manage the setting</w:t>
      </w:r>
    </w:p>
    <w:p>
      <w:r>
        <w:rPr>
          <w:b w:val="0"/>
          <w:i w:val="0"/>
        </w:rPr>
        <w:t>Use a magnified photograph or specimen to confirm the ant. Trace a trail with good lighting and record the smallest visible entry point without assuming that it is the nest.</w:t>
      </w:r>
    </w:p>
    <w:p>
      <w:r>
        <w:rPr>
          <w:b w:val="0"/>
          <w:i w:val="0"/>
        </w:rPr>
        <w:t>Keep a record of the actual conflict: indoor food contamination, structural nesting, a blocked path, or no practical problem. An outdoor ant population does not by itself call for control. [PU]</w:t>
      </w:r>
    </w:p>
    <w:p>
      <w:pPr>
        <w:pStyle w:val="Heading2"/>
      </w:pPr>
      <w:r>
        <w:t>A simple habitat observation</w:t>
      </w:r>
    </w:p>
    <w:p>
      <w:r>
        <w:rPr>
          <w:b w:val="0"/>
          <w:i w:val="0"/>
        </w:rPr>
        <w:t>Choose two nearby places with contrasting cover. Observe each for five minutes at a similar time of day. Record shade, substrate, wetness, visible entrances, and the number of workers crossing a fixed line. Repeat on several days; a trail count measures visible traffic, not colony size.</w:t>
      </w:r>
    </w:p>
    <w:p>
      <w:pPr>
        <w:pStyle w:val="Heading2"/>
      </w:pPr>
      <w:r>
        <w:t>Related Information Sheets</w:t>
      </w:r>
    </w:p>
    <w:p>
      <w:r>
        <w:rPr>
          <w:b w:val="0"/>
          <w:i w:val="0"/>
        </w:rPr>
        <w:t xml:space="preserve">Added September 22, 2026 · </w:t>
      </w:r>
      <w:hyperlink r:id="rId23">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animals/thief-ant/" TargetMode="External"/><Relationship Id="rId12" Type="http://schemas.openxmlformats.org/officeDocument/2006/relationships/image" Target="media/image1.jpg"/><Relationship Id="rId13" Type="http://schemas.openxmlformats.org/officeDocument/2006/relationships/hyperlink" Target="https://commons.wikimedia.org/wiki/File:Solenopsis_molesta_casent0106027_profile_1.jpg" TargetMode="External"/><Relationship Id="rId14" Type="http://schemas.openxmlformats.org/officeDocument/2006/relationships/hyperlink" Target="https://creativecommons.org/licenses/by/4.0/" TargetMode="External"/><Relationship Id="rId15" Type="http://schemas.openxmlformats.org/officeDocument/2006/relationships/image" Target="media/image2.jpg"/><Relationship Id="rId16" Type="http://schemas.openxmlformats.org/officeDocument/2006/relationships/hyperlink" Target="https://commons.wikimedia.org/wiki/File:Solenopsis_molesta_P1200958a.jpg" TargetMode="External"/><Relationship Id="rId17" Type="http://schemas.openxmlformats.org/officeDocument/2006/relationships/hyperlink" Target="https://creativecommons.org/licenses/by-sa/4.0/" TargetMode="External"/><Relationship Id="rId18" Type="http://schemas.openxmlformats.org/officeDocument/2006/relationships/image" Target="media/image3.jpg"/><Relationship Id="rId19" Type="http://schemas.openxmlformats.org/officeDocument/2006/relationships/hyperlink" Target="https://commons.wikimedia.org/wiki/File:Turkey_Run_SP,_IN_2.jpg" TargetMode="External"/><Relationship Id="rId20" Type="http://schemas.openxmlformats.org/officeDocument/2006/relationships/image" Target="media/image4.jpg"/><Relationship Id="rId21" Type="http://schemas.openxmlformats.org/officeDocument/2006/relationships/hyperlink" Target="https://commons.wikimedia.org/wiki/File:Hoosier_Prairie_P7150009.jpg" TargetMode="External"/><Relationship Id="rId22" Type="http://schemas.openxmlformats.org/officeDocument/2006/relationships/hyperlink" Target="https://creativecommons.org/publicdomain/mark/1.0/" TargetMode="External"/><Relationship Id="rId23" Type="http://schemas.openxmlformats.org/officeDocument/2006/relationships/hyperlink" Target="https://planteducationproject.com/information-sheets/master-index/" TargetMode="External"/><Relationship Id="rId24" Type="http://schemas.openxmlformats.org/officeDocument/2006/relationships/hyperlink" Target="https://creativecommons.org/licenses/by-nc/4.0/" TargetMode="External"/><Relationship Id="rId25" Type="http://schemas.openxmlformats.org/officeDocument/2006/relationships/hyperlink" Target="https://planteducationproject.com/animals/thief-ant/climate/" TargetMode="External"/><Relationship Id="rId26" Type="http://schemas.openxmlformats.org/officeDocument/2006/relationships/hyperlink" Target="https://planteducationproject.com/animals/thief-ant/ecology/" TargetMode="External"/><Relationship Id="rId27" Type="http://schemas.openxmlformats.org/officeDocument/2006/relationships/hyperlink" Target="https://planteducationproject.com/animals/thief-ant/enviro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animals thief ant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