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Pavement Ant</w:t>
      </w:r>
    </w:p>
    <w:p>
      <w:pPr>
        <w:spacing w:after="320"/>
      </w:pPr>
      <w:r>
        <w:t>Combined Information Sheets</w:t>
      </w:r>
    </w:p>
    <w:p>
      <w:pPr>
        <w:pStyle w:val="Heading1"/>
      </w:pPr>
      <w:r>
        <w:t>Pavement Ant</w:t>
      </w:r>
    </w:p>
    <w:p>
      <w:r>
        <w:rPr>
          <w:b/>
        </w:rPr>
        <w:t xml:space="preserve">Online Information Sheet: </w:t>
      </w:r>
      <w:hyperlink r:id="rId11">
        <w:r>
          <w:rPr>
            <w:color w:val="245B43"/>
            <w:u w:val="single"/>
          </w:rPr>
          <w:t>planteducationproject.com/animals/pavement-ant/</w:t>
        </w:r>
      </w:hyperlink>
    </w:p>
    <w:p>
      <w:r>
        <w:rPr>
          <w:b w:val="0"/>
          <w:i w:val="0"/>
        </w:rPr>
        <w:t>🌿 Animal Information Sheet</w:t>
      </w:r>
    </w:p>
    <w:p>
      <w:r>
        <w:rPr>
          <w:b w:val="0"/>
          <w:i/>
        </w:rPr>
        <w:t>Tetramorium immigrans</w:t>
      </w:r>
    </w:p>
    <w:p>
      <w:pPr>
        <w:jc w:val="center"/>
      </w:pPr>
      <w:r>
        <w:drawing>
          <wp:inline xmlns:a="http://schemas.openxmlformats.org/drawingml/2006/main" xmlns:pic="http://schemas.openxmlformats.org/drawingml/2006/picture">
            <wp:extent cx="5120640" cy="3557590"/>
            <wp:docPr id="1" name="Picture 1"/>
            <wp:cNvGraphicFramePr>
              <a:graphicFrameLocks noChangeAspect="1"/>
            </wp:cNvGraphicFramePr>
            <a:graphic>
              <a:graphicData uri="http://schemas.openxmlformats.org/drawingml/2006/picture">
                <pic:pic>
                  <pic:nvPicPr>
                    <pic:cNvPr id="0" name="d10d471ae5c6221394bf7f2d.jpg"/>
                    <pic:cNvPicPr/>
                  </pic:nvPicPr>
                  <pic:blipFill>
                    <a:blip r:embed="rId12"/>
                    <a:stretch>
                      <a:fillRect/>
                    </a:stretch>
                  </pic:blipFill>
                  <pic:spPr>
                    <a:xfrm>
                      <a:off x="0" y="0"/>
                      <a:ext cx="5120640" cy="3557590"/>
                    </a:xfrm>
                    <a:prstGeom prst="rect"/>
                  </pic:spPr>
                </pic:pic>
              </a:graphicData>
            </a:graphic>
          </wp:inline>
        </w:drawing>
      </w:r>
    </w:p>
    <w:p>
      <w:pPr>
        <w:pStyle w:val="Caption"/>
      </w:pPr>
      <w:r>
        <w:rPr>
          <w:b w:val="0"/>
          <w:i w:val="0"/>
        </w:rPr>
        <w:t>AntWeb worker profile showing two waist nodes and small spines.</w:t>
      </w:r>
      <w:r>
        <w:br/>
      </w:r>
      <w:r>
        <w:t xml:space="preserve">Photograph: April Nobile · </w:t>
      </w:r>
      <w:hyperlink r:id="rId13">
        <w:r>
          <w:rPr>
            <w:color w:val="245B43"/>
            <w:u w:val="single"/>
          </w:rPr>
          <w:t>Original source</w:t>
        </w:r>
      </w:hyperlink>
      <w:r>
        <w:t xml:space="preserve"> · </w:t>
      </w:r>
      <w:hyperlink r:id="rId14">
        <w:r>
          <w:rPr>
            <w:color w:val="245B43"/>
            <w:u w:val="single"/>
          </w:rPr>
          <w:t>CC BY 4.0</w:t>
        </w:r>
      </w:hyperlink>
      <w:r>
        <w:t>. Resized proportionally.</w:t>
      </w:r>
    </w:p>
    <w:p>
      <w:r>
        <w:rPr>
          <w:b w:val="0"/>
          <w:i w:val="0"/>
        </w:rPr>
        <w:t>The familiar small ant beneath sidewalks and paving stones. Its success in disturbed ground makes it easy to observe, but the older name Tetramorium caespitum can conceal important differences among species.</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Scientific name</w:t>
            </w:r>
          </w:p>
        </w:tc>
        <w:tc>
          <w:tcPr>
            <w:tcW w:type="dxa" w:w="5083"/>
            <w:vAlign w:val="center"/>
            <w:shd w:fill="FFFFFF"/>
          </w:tcPr>
          <w:p>
            <w:pPr>
              <w:spacing w:after="60"/>
            </w:pPr>
            <w:r>
              <w:rPr>
                <w:b w:val="0"/>
                <w:i w:val="0"/>
                <w:sz w:val="22"/>
              </w:rPr>
              <w:t>Tetramorium immigrans</w:t>
            </w:r>
          </w:p>
        </w:tc>
      </w:tr>
      <w:tr>
        <w:trPr>
          <w:cantSplit/>
        </w:trPr>
        <w:tc>
          <w:tcPr>
            <w:tcW w:type="dxa" w:w="5083"/>
            <w:vAlign w:val="center"/>
            <w:shd w:fill="FFFFFF"/>
          </w:tcPr>
          <w:p>
            <w:pPr>
              <w:spacing w:after="60"/>
            </w:pPr>
            <w:r>
              <w:rPr>
                <w:b/>
                <w:i w:val="0"/>
                <w:sz w:val="22"/>
              </w:rPr>
              <w:t>Worker length</w:t>
            </w:r>
          </w:p>
        </w:tc>
        <w:tc>
          <w:tcPr>
            <w:tcW w:type="dxa" w:w="5083"/>
            <w:vAlign w:val="center"/>
            <w:shd w:fill="FFFFFF"/>
          </w:tcPr>
          <w:p>
            <w:pPr>
              <w:spacing w:after="60"/>
            </w:pPr>
            <w:r>
              <w:rPr>
                <w:b w:val="0"/>
                <w:i w:val="0"/>
                <w:sz w:val="22"/>
              </w:rPr>
              <w:t>About 2.5 to 4 mm</w:t>
            </w:r>
          </w:p>
        </w:tc>
      </w:tr>
      <w:tr>
        <w:trPr>
          <w:cantSplit/>
        </w:trPr>
        <w:tc>
          <w:tcPr>
            <w:tcW w:type="dxa" w:w="5083"/>
            <w:vAlign w:val="center"/>
            <w:shd w:fill="FFFFFF"/>
          </w:tcPr>
          <w:p>
            <w:pPr>
              <w:spacing w:after="60"/>
            </w:pPr>
            <w:r>
              <w:rPr>
                <w:b/>
                <w:i w:val="0"/>
                <w:sz w:val="22"/>
              </w:rPr>
              <w:t>Native status</w:t>
            </w:r>
          </w:p>
        </w:tc>
        <w:tc>
          <w:tcPr>
            <w:tcW w:type="dxa" w:w="5083"/>
            <w:vAlign w:val="center"/>
            <w:shd w:fill="FFFFFF"/>
          </w:tcPr>
          <w:p>
            <w:pPr>
              <w:spacing w:after="60"/>
            </w:pPr>
            <w:r>
              <w:rPr>
                <w:b w:val="0"/>
                <w:i w:val="0"/>
                <w:sz w:val="22"/>
              </w:rPr>
              <w:t>Introduced to North America from Eurasia</w:t>
            </w:r>
          </w:p>
        </w:tc>
      </w:tr>
      <w:tr>
        <w:trPr>
          <w:cantSplit/>
        </w:trPr>
        <w:tc>
          <w:tcPr>
            <w:tcW w:type="dxa" w:w="5083"/>
            <w:vAlign w:val="center"/>
            <w:shd w:fill="FFFFFF"/>
          </w:tcPr>
          <w:p>
            <w:pPr>
              <w:spacing w:after="60"/>
            </w:pPr>
            <w:r>
              <w:rPr>
                <w:b/>
                <w:i w:val="0"/>
                <w:sz w:val="22"/>
              </w:rPr>
              <w:t>Practical significance</w:t>
            </w:r>
          </w:p>
        </w:tc>
        <w:tc>
          <w:tcPr>
            <w:tcW w:type="dxa" w:w="5083"/>
            <w:vAlign w:val="center"/>
            <w:shd w:fill="FFFFFF"/>
          </w:tcPr>
          <w:p>
            <w:pPr>
              <w:spacing w:after="60"/>
            </w:pPr>
            <w:r>
              <w:rPr>
                <w:b w:val="0"/>
                <w:i w:val="0"/>
                <w:sz w:val="22"/>
              </w:rPr>
              <w:t>Widespread introduced urban ant; local ecological effects vary</w:t>
            </w:r>
          </w:p>
        </w:tc>
      </w:tr>
    </w:tbl>
    <w:p>
      <w:pPr>
        <w:spacing w:after="20"/>
      </w:pPr>
    </w:p>
    <w:p>
      <w:pPr>
        <w:pStyle w:val="Heading2"/>
      </w:pPr>
      <w:r>
        <w:t>Identification</w:t>
      </w:r>
    </w:p>
    <w:p>
      <w:r>
        <w:rPr>
          <w:b w:val="0"/>
          <w:i w:val="0"/>
        </w:rPr>
        <w:t>Workers have two waist nodes, a pair of small rear spines on the middle body, and grooves on the head and thorax. Color is usually dark brown to black. A hand lens helps; these features are difficult to confirm in a distant phone photograph. [ID]</w:t>
      </w:r>
    </w:p>
    <w:p>
      <w:r>
        <w:rPr>
          <w:b w:val="0"/>
          <w:i w:val="0"/>
        </w:rPr>
        <w:t>Odorous house ants lack the two conspicuous waist nodes. Do not label an ant as a fire ant because it forms a mound or gathers in a dense group. Closely related Tetramorium species may require expert examination.</w:t>
      </w:r>
    </w:p>
    <w:p>
      <w:pPr>
        <w:pStyle w:val="Heading2"/>
      </w:pPr>
      <w:r>
        <w:t>Food and foraging</w:t>
      </w:r>
    </w:p>
    <w:p>
      <w:r>
        <w:rPr>
          <w:b w:val="0"/>
          <w:i w:val="0"/>
        </w:rPr>
        <w:t>An omnivorous scavenger that collects sugary foods, insect material, and other small food particles. Workers can recruit nestmates quickly to a concentrated food source. [ID]</w:t>
      </w:r>
    </w:p>
    <w:p>
      <w:pPr>
        <w:pStyle w:val="Heading2"/>
      </w:pPr>
      <w:r>
        <w:t>Life cycle and seasonal timing</w:t>
      </w:r>
    </w:p>
    <w:p>
      <w:r>
        <w:rPr>
          <w:b w:val="0"/>
          <w:i w:val="0"/>
        </w:rPr>
        <w:t>A mated queen usually founds a colony independently. Mature colonies normally have one reproductive queen. Workers rear eggs, larvae, and pupae in underground chambers. Rival neighboring colonies may engage in conspicuous contests.</w:t>
      </w:r>
    </w:p>
    <w:p>
      <w:r>
        <w:rPr>
          <w:b w:val="0"/>
          <w:i w:val="0"/>
        </w:rPr>
        <w:t>In the Northern Hemisphere, mating flights are commonly reported from late May through July, often near sunrise on still days. Local weather changes the timing. [ID, Pavement]</w:t>
      </w:r>
    </w:p>
    <w:p>
      <w:pPr>
        <w:jc w:val="center"/>
      </w:pPr>
      <w:r>
        <w:drawing>
          <wp:inline xmlns:a="http://schemas.openxmlformats.org/drawingml/2006/main" xmlns:pic="http://schemas.openxmlformats.org/drawingml/2006/picture">
            <wp:extent cx="5120640" cy="2880360"/>
            <wp:docPr id="2" name="Picture 2"/>
            <wp:cNvGraphicFramePr>
              <a:graphicFrameLocks noChangeAspect="1"/>
            </wp:cNvGraphicFramePr>
            <a:graphic>
              <a:graphicData uri="http://schemas.openxmlformats.org/drawingml/2006/picture">
                <pic:pic>
                  <pic:nvPicPr>
                    <pic:cNvPr id="0" name="d942cd009667917bb0c1b742.jpg"/>
                    <pic:cNvPicPr/>
                  </pic:nvPicPr>
                  <pic:blipFill>
                    <a:blip r:embed="rId15"/>
                    <a:stretch>
                      <a:fillRect/>
                    </a:stretch>
                  </pic:blipFill>
                  <pic:spPr>
                    <a:xfrm>
                      <a:off x="0" y="0"/>
                      <a:ext cx="5120640" cy="2880360"/>
                    </a:xfrm>
                    <a:prstGeom prst="rect"/>
                  </pic:spPr>
                </pic:pic>
              </a:graphicData>
            </a:graphic>
          </wp:inline>
        </w:drawing>
      </w:r>
    </w:p>
    <w:p>
      <w:pPr>
        <w:pStyle w:val="Caption"/>
      </w:pPr>
      <w:r>
        <w:rPr>
          <w:b w:val="0"/>
          <w:i w:val="0"/>
        </w:rPr>
        <w:t>Tetramorium immigrans male.jpg • Jacy Lucier • CC BY-SA 4.0</w:t>
      </w:r>
      <w:r>
        <w:br/>
      </w:r>
      <w:r>
        <w:t xml:space="preserve">Photograph: Jacy Lucier · </w:t>
      </w:r>
      <w:hyperlink r:id="rId16">
        <w:r>
          <w:rPr>
            <w:color w:val="245B43"/>
            <w:u w:val="single"/>
          </w:rPr>
          <w:t>Original source</w:t>
        </w:r>
      </w:hyperlink>
      <w:r>
        <w:t xml:space="preserve"> · </w:t>
      </w:r>
      <w:hyperlink r:id="rId17">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3" name="Picture 3"/>
            <wp:cNvGraphicFramePr>
              <a:graphicFrameLocks noChangeAspect="1"/>
            </wp:cNvGraphicFramePr>
            <a:graphic>
              <a:graphicData uri="http://schemas.openxmlformats.org/drawingml/2006/picture">
                <pic:pic>
                  <pic:nvPicPr>
                    <pic:cNvPr id="0" name="283fcc6808ca00b87a983a57.jpg"/>
                    <pic:cNvPicPr/>
                  </pic:nvPicPr>
                  <pic:blipFill>
                    <a:blip r:embed="rId18"/>
                    <a:stretch>
                      <a:fillRect/>
                    </a:stretch>
                  </pic:blipFill>
                  <pic:spPr>
                    <a:xfrm>
                      <a:off x="0" y="0"/>
                      <a:ext cx="5120640" cy="3840480"/>
                    </a:xfrm>
                    <a:prstGeom prst="rect"/>
                  </pic:spPr>
                </pic:pic>
              </a:graphicData>
            </a:graphic>
          </wp:inline>
        </w:drawing>
      </w:r>
    </w:p>
    <w:p>
      <w:pPr>
        <w:pStyle w:val="Caption"/>
      </w:pPr>
      <w:r>
        <w:rPr>
          <w:b w:val="0"/>
          <w:i w:val="0"/>
        </w:rPr>
        <w:t>Immigrant Pavement Ants (Tetramorium immigrans) - Guelph, Ontario 2020-07-26.jpg • Ryan Hodnett • CC BY-SA 4.0</w:t>
      </w:r>
      <w:r>
        <w:br/>
      </w:r>
      <w:r>
        <w:t xml:space="preserve">Photograph: Ryan Hodnett · </w:t>
      </w:r>
      <w:hyperlink r:id="rId19">
        <w:r>
          <w:rPr>
            <w:color w:val="245B43"/>
            <w:u w:val="single"/>
          </w:rPr>
          <w:t>Original source</w:t>
        </w:r>
      </w:hyperlink>
      <w:r>
        <w:t xml:space="preserve"> · </w:t>
      </w:r>
      <w:hyperlink r:id="rId17">
        <w:r>
          <w:rPr>
            <w:color w:val="245B43"/>
            <w:u w:val="single"/>
          </w:rPr>
          <w:t>CC BY-SA 4.0</w:t>
        </w:r>
      </w:hyperlink>
      <w:r>
        <w:t>. Resized proportionally.</w:t>
      </w:r>
    </w:p>
    <w:p>
      <w:pPr>
        <w:pStyle w:val="Heading2"/>
      </w:pPr>
      <w:r>
        <w:t>Environment and local occurrence</w:t>
      </w:r>
    </w:p>
    <w:p>
      <w:r>
        <w:rPr>
          <w:b w:val="0"/>
          <w:i w:val="0"/>
        </w:rPr>
        <w:t>Soil beneath or beside sidewalks, driveways, stones, and other cover, especially in open disturbed places. Excavated soil at cracks can reveal entrances, although the nest extends beyond what is visible.</w:t>
      </w:r>
    </w:p>
    <w:p>
      <w:r>
        <w:rPr>
          <w:b w:val="0"/>
          <w:i w:val="0"/>
        </w:rPr>
        <w:t>Morris records the older pavement-ant name Tetramorium caespitum in Wayne County. That historical record alone is not a verified modern Tippecanoe record of T. immigrans. [IN]</w:t>
      </w:r>
    </w:p>
    <w:p>
      <w:pPr>
        <w:pStyle w:val="Heading2"/>
      </w:pPr>
      <w:r>
        <w:t>Living with this ant</w:t>
      </w:r>
    </w:p>
    <w:p>
      <w:r>
        <w:rPr>
          <w:b w:val="0"/>
          <w:i w:val="0"/>
        </w:rPr>
        <w:t>Tolerate outdoor colonies when they are not causing a practical problem. Indoors, remove food residues and seal entry routes. If needed, choose a labeled bait and follow progress over time rather than judging success by dead workers alone. [UC]</w:t>
      </w:r>
    </w:p>
    <w:p>
      <w:r>
        <w:rPr>
          <w:b w:val="0"/>
          <w:i w:val="0"/>
        </w:rPr>
        <w:t>Observe without handling or deliberately disturbing the nest. Before using a pesticide, confirm the ant and follow the current label for the site and application. Protect food, children, pets, and nearby water.</w:t>
      </w:r>
    </w:p>
    <w:p>
      <w:pPr>
        <w:pStyle w:val="Heading2"/>
      </w:pPr>
      <w:r>
        <w:t>Related Information Sheets</w:t>
      </w:r>
    </w:p>
    <w:p>
      <w:r>
        <w:rPr>
          <w:b w:val="0"/>
          <w:i w:val="0"/>
        </w:rPr>
        <w:t xml:space="preserve">Added September 22, 2026 · </w:t>
      </w:r>
      <w:hyperlink r:id="rId20">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1">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Pavement Ant — Climate</w:t>
      </w:r>
    </w:p>
    <w:p>
      <w:r>
        <w:rPr>
          <w:b/>
        </w:rPr>
        <w:t xml:space="preserve">Online Information Sheet: </w:t>
      </w:r>
      <w:hyperlink r:id="rId22">
        <w:r>
          <w:rPr>
            <w:color w:val="245B43"/>
            <w:u w:val="single"/>
          </w:rPr>
          <w:t>planteducationproject.com/animals/pavement-ant/climate/</w:t>
        </w:r>
      </w:hyperlink>
    </w:p>
    <w:p>
      <w:r>
        <w:rPr>
          <w:b w:val="0"/>
          <w:i w:val="0"/>
        </w:rPr>
        <w:t>🌿 Climate Information Sheet</w:t>
      </w:r>
    </w:p>
    <w:p>
      <w:r>
        <w:rPr>
          <w:b w:val="0"/>
          <w:i/>
        </w:rPr>
        <w:t>Tetramorium immigrans</w:t>
      </w:r>
    </w:p>
    <w:p>
      <w:r>
        <w:rPr>
          <w:b w:val="0"/>
          <w:i w:val="0"/>
        </w:rPr>
        <w:t>Indiana provides a seasonal outdoor setting, with freezing winters and warm summers. The table describes Lafayette weather; it is not a nest-temperature range or a laboratory tolerance limit for this ant.</w:t>
      </w:r>
    </w:p>
    <w:p>
      <w:pPr>
        <w:pStyle w:val="Heading2"/>
      </w:pPr>
      <w:r>
        <w:t>Lafayette climate at a glance</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val="0"/>
                <w:sz w:val="22"/>
              </w:rPr>
              <w:t>Month</w:t>
            </w:r>
          </w:p>
        </w:tc>
        <w:tc>
          <w:tcPr>
            <w:tcW w:type="dxa" w:w="2033"/>
            <w:vAlign w:val="center"/>
            <w:shd w:fill="E9EDF0"/>
          </w:tcPr>
          <w:p>
            <w:pPr>
              <w:spacing w:after="60"/>
            </w:pPr>
            <w:r>
              <w:rPr>
                <w:b/>
                <w:i w:val="0"/>
                <w:sz w:val="22"/>
              </w:rPr>
              <w:t>Mean °F</w:t>
            </w:r>
          </w:p>
        </w:tc>
        <w:tc>
          <w:tcPr>
            <w:tcW w:type="dxa" w:w="2033"/>
            <w:vAlign w:val="center"/>
            <w:shd w:fill="E9EDF0"/>
          </w:tcPr>
          <w:p>
            <w:pPr>
              <w:spacing w:after="60"/>
            </w:pPr>
            <w:r>
              <w:rPr>
                <w:b/>
                <w:i w:val="0"/>
                <w:sz w:val="22"/>
              </w:rPr>
              <w:t>Mean °C</w:t>
            </w:r>
          </w:p>
        </w:tc>
        <w:tc>
          <w:tcPr>
            <w:tcW w:type="dxa" w:w="2033"/>
            <w:vAlign w:val="center"/>
            <w:shd w:fill="E9EDF0"/>
          </w:tcPr>
          <w:p>
            <w:pPr>
              <w:spacing w:after="60"/>
            </w:pPr>
            <w:r>
              <w:rPr>
                <w:b/>
                <w:i w:val="0"/>
                <w:sz w:val="22"/>
              </w:rPr>
              <w:t>Precip in</w:t>
            </w:r>
          </w:p>
        </w:tc>
        <w:tc>
          <w:tcPr>
            <w:tcW w:type="dxa" w:w="2033"/>
            <w:vAlign w:val="center"/>
            <w:shd w:fill="E9EDF0"/>
          </w:tcPr>
          <w:p>
            <w:pPr>
              <w:spacing w:after="60"/>
            </w:pPr>
            <w:r>
              <w:rPr>
                <w:b/>
                <w:i w:val="0"/>
                <w:sz w:val="22"/>
              </w:rPr>
              <w:t>Precip mm</w:t>
            </w:r>
          </w:p>
        </w:tc>
      </w:tr>
      <w:tr>
        <w:trPr>
          <w:cantSplit/>
        </w:trPr>
        <w:tc>
          <w:tcPr>
            <w:tcW w:type="dxa" w:w="2033"/>
            <w:vAlign w:val="center"/>
            <w:shd w:fill="FFFFFF"/>
          </w:tcPr>
          <w:p>
            <w:pPr>
              <w:spacing w:after="60"/>
            </w:pPr>
            <w:r>
              <w:rPr>
                <w:b/>
                <w:i w:val="0"/>
                <w:sz w:val="22"/>
              </w:rPr>
              <w:t>Jan</w:t>
            </w:r>
          </w:p>
        </w:tc>
        <w:tc>
          <w:tcPr>
            <w:tcW w:type="dxa" w:w="2033"/>
            <w:vAlign w:val="center"/>
            <w:shd w:fill="FFFFFF"/>
          </w:tcPr>
          <w:p>
            <w:pPr>
              <w:spacing w:after="60"/>
            </w:pPr>
            <w:r>
              <w:rPr>
                <w:b w:val="0"/>
                <w:i w:val="0"/>
                <w:sz w:val="22"/>
              </w:rPr>
              <w:t>25.8</w:t>
            </w:r>
          </w:p>
        </w:tc>
        <w:tc>
          <w:tcPr>
            <w:tcW w:type="dxa" w:w="2033"/>
            <w:vAlign w:val="center"/>
            <w:shd w:fill="FFFFFF"/>
          </w:tcPr>
          <w:p>
            <w:pPr>
              <w:spacing w:after="60"/>
            </w:pPr>
            <w:r>
              <w:rPr>
                <w:b w:val="0"/>
                <w:i w:val="0"/>
                <w:sz w:val="22"/>
              </w:rPr>
              <w:t>-3.4</w:t>
            </w:r>
          </w:p>
        </w:tc>
        <w:tc>
          <w:tcPr>
            <w:tcW w:type="dxa" w:w="2033"/>
            <w:vAlign w:val="center"/>
            <w:shd w:fill="FFFFFF"/>
          </w:tcPr>
          <w:p>
            <w:pPr>
              <w:spacing w:after="60"/>
            </w:pPr>
            <w:r>
              <w:rPr>
                <w:b w:val="0"/>
                <w:i w:val="0"/>
                <w:sz w:val="22"/>
              </w:rPr>
              <w:t>2.19</w:t>
            </w:r>
          </w:p>
        </w:tc>
        <w:tc>
          <w:tcPr>
            <w:tcW w:type="dxa" w:w="2033"/>
            <w:vAlign w:val="center"/>
            <w:shd w:fill="FFFFFF"/>
          </w:tcPr>
          <w:p>
            <w:pPr>
              <w:spacing w:after="60"/>
            </w:pPr>
            <w:r>
              <w:rPr>
                <w:b w:val="0"/>
                <w:i w:val="0"/>
                <w:sz w:val="22"/>
              </w:rPr>
              <w:t>56</w:t>
            </w:r>
          </w:p>
        </w:tc>
      </w:tr>
      <w:tr>
        <w:trPr>
          <w:cantSplit/>
        </w:trPr>
        <w:tc>
          <w:tcPr>
            <w:tcW w:type="dxa" w:w="2033"/>
            <w:vAlign w:val="center"/>
            <w:shd w:fill="FFFFFF"/>
          </w:tcPr>
          <w:p>
            <w:pPr>
              <w:spacing w:after="60"/>
            </w:pPr>
            <w:r>
              <w:rPr>
                <w:b/>
                <w:i w:val="0"/>
                <w:sz w:val="22"/>
              </w:rPr>
              <w:t>Feb</w:t>
            </w:r>
          </w:p>
        </w:tc>
        <w:tc>
          <w:tcPr>
            <w:tcW w:type="dxa" w:w="2033"/>
            <w:vAlign w:val="center"/>
            <w:shd w:fill="FFFFFF"/>
          </w:tcPr>
          <w:p>
            <w:pPr>
              <w:spacing w:after="60"/>
            </w:pPr>
            <w:r>
              <w:rPr>
                <w:b w:val="0"/>
                <w:i w:val="0"/>
                <w:sz w:val="22"/>
              </w:rPr>
              <w:t>29.7</w:t>
            </w:r>
          </w:p>
        </w:tc>
        <w:tc>
          <w:tcPr>
            <w:tcW w:type="dxa" w:w="2033"/>
            <w:vAlign w:val="center"/>
            <w:shd w:fill="FFFFFF"/>
          </w:tcPr>
          <w:p>
            <w:pPr>
              <w:spacing w:after="60"/>
            </w:pPr>
            <w:r>
              <w:rPr>
                <w:b w:val="0"/>
                <w:i w:val="0"/>
                <w:sz w:val="22"/>
              </w:rPr>
              <w:t>-1.3</w:t>
            </w:r>
          </w:p>
        </w:tc>
        <w:tc>
          <w:tcPr>
            <w:tcW w:type="dxa" w:w="2033"/>
            <w:vAlign w:val="center"/>
            <w:shd w:fill="FFFFFF"/>
          </w:tcPr>
          <w:p>
            <w:pPr>
              <w:spacing w:after="60"/>
            </w:pPr>
            <w:r>
              <w:rPr>
                <w:b w:val="0"/>
                <w:i w:val="0"/>
                <w:sz w:val="22"/>
              </w:rPr>
              <w:t>1.78</w:t>
            </w:r>
          </w:p>
        </w:tc>
        <w:tc>
          <w:tcPr>
            <w:tcW w:type="dxa" w:w="2033"/>
            <w:vAlign w:val="center"/>
            <w:shd w:fill="FFFFFF"/>
          </w:tcPr>
          <w:p>
            <w:pPr>
              <w:spacing w:after="60"/>
            </w:pPr>
            <w:r>
              <w:rPr>
                <w:b w:val="0"/>
                <w:i w:val="0"/>
                <w:sz w:val="22"/>
              </w:rPr>
              <w:t>45</w:t>
            </w:r>
          </w:p>
        </w:tc>
      </w:tr>
      <w:tr>
        <w:trPr>
          <w:cantSplit/>
        </w:trPr>
        <w:tc>
          <w:tcPr>
            <w:tcW w:type="dxa" w:w="2033"/>
            <w:vAlign w:val="center"/>
            <w:shd w:fill="FFFFFF"/>
          </w:tcPr>
          <w:p>
            <w:pPr>
              <w:spacing w:after="60"/>
            </w:pPr>
            <w:r>
              <w:rPr>
                <w:b/>
                <w:i w:val="0"/>
                <w:sz w:val="22"/>
              </w:rPr>
              <w:t>Mar</w:t>
            </w:r>
          </w:p>
        </w:tc>
        <w:tc>
          <w:tcPr>
            <w:tcW w:type="dxa" w:w="2033"/>
            <w:vAlign w:val="center"/>
            <w:shd w:fill="FFFFFF"/>
          </w:tcPr>
          <w:p>
            <w:pPr>
              <w:spacing w:after="60"/>
            </w:pPr>
            <w:r>
              <w:rPr>
                <w:b w:val="0"/>
                <w:i w:val="0"/>
                <w:sz w:val="22"/>
              </w:rPr>
              <w:t>40.0</w:t>
            </w:r>
          </w:p>
        </w:tc>
        <w:tc>
          <w:tcPr>
            <w:tcW w:type="dxa" w:w="2033"/>
            <w:vAlign w:val="center"/>
            <w:shd w:fill="FFFFFF"/>
          </w:tcPr>
          <w:p>
            <w:pPr>
              <w:spacing w:after="60"/>
            </w:pPr>
            <w:r>
              <w:rPr>
                <w:b w:val="0"/>
                <w:i w:val="0"/>
                <w:sz w:val="22"/>
              </w:rPr>
              <w:t>4.4</w:t>
            </w:r>
          </w:p>
        </w:tc>
        <w:tc>
          <w:tcPr>
            <w:tcW w:type="dxa" w:w="2033"/>
            <w:vAlign w:val="center"/>
            <w:shd w:fill="FFFFFF"/>
          </w:tcPr>
          <w:p>
            <w:pPr>
              <w:spacing w:after="60"/>
            </w:pPr>
            <w:r>
              <w:rPr>
                <w:b w:val="0"/>
                <w:i w:val="0"/>
                <w:sz w:val="22"/>
              </w:rPr>
              <w:t>2.73</w:t>
            </w:r>
          </w:p>
        </w:tc>
        <w:tc>
          <w:tcPr>
            <w:tcW w:type="dxa" w:w="2033"/>
            <w:vAlign w:val="center"/>
            <w:shd w:fill="FFFFFF"/>
          </w:tcPr>
          <w:p>
            <w:pPr>
              <w:spacing w:after="60"/>
            </w:pPr>
            <w:r>
              <w:rPr>
                <w:b w:val="0"/>
                <w:i w:val="0"/>
                <w:sz w:val="22"/>
              </w:rPr>
              <w:t>69</w:t>
            </w:r>
          </w:p>
        </w:tc>
      </w:tr>
      <w:tr>
        <w:trPr>
          <w:cantSplit/>
        </w:trPr>
        <w:tc>
          <w:tcPr>
            <w:tcW w:type="dxa" w:w="2033"/>
            <w:vAlign w:val="center"/>
            <w:shd w:fill="FFFFFF"/>
          </w:tcPr>
          <w:p>
            <w:pPr>
              <w:spacing w:after="60"/>
            </w:pPr>
            <w:r>
              <w:rPr>
                <w:b/>
                <w:i w:val="0"/>
                <w:sz w:val="22"/>
              </w:rPr>
              <w:t>Apr</w:t>
            </w:r>
          </w:p>
        </w:tc>
        <w:tc>
          <w:tcPr>
            <w:tcW w:type="dxa" w:w="2033"/>
            <w:vAlign w:val="center"/>
            <w:shd w:fill="FFFFFF"/>
          </w:tcPr>
          <w:p>
            <w:pPr>
              <w:spacing w:after="60"/>
            </w:pPr>
            <w:r>
              <w:rPr>
                <w:b w:val="0"/>
                <w:i w:val="0"/>
                <w:sz w:val="22"/>
              </w:rPr>
              <w:t>51.1</w:t>
            </w:r>
          </w:p>
        </w:tc>
        <w:tc>
          <w:tcPr>
            <w:tcW w:type="dxa" w:w="2033"/>
            <w:vAlign w:val="center"/>
            <w:shd w:fill="FFFFFF"/>
          </w:tcPr>
          <w:p>
            <w:pPr>
              <w:spacing w:after="60"/>
            </w:pPr>
            <w:r>
              <w:rPr>
                <w:b w:val="0"/>
                <w:i w:val="0"/>
                <w:sz w:val="22"/>
              </w:rPr>
              <w:t>10.6</w:t>
            </w:r>
          </w:p>
        </w:tc>
        <w:tc>
          <w:tcPr>
            <w:tcW w:type="dxa" w:w="2033"/>
            <w:vAlign w:val="center"/>
            <w:shd w:fill="FFFFFF"/>
          </w:tcPr>
          <w:p>
            <w:pPr>
              <w:spacing w:after="60"/>
            </w:pPr>
            <w:r>
              <w:rPr>
                <w:b w:val="0"/>
                <w:i w:val="0"/>
                <w:sz w:val="22"/>
              </w:rPr>
              <w:t>3.84</w:t>
            </w:r>
          </w:p>
        </w:tc>
        <w:tc>
          <w:tcPr>
            <w:tcW w:type="dxa" w:w="2033"/>
            <w:vAlign w:val="center"/>
            <w:shd w:fill="FFFFFF"/>
          </w:tcPr>
          <w:p>
            <w:pPr>
              <w:spacing w:after="60"/>
            </w:pPr>
            <w:r>
              <w:rPr>
                <w:b w:val="0"/>
                <w:i w:val="0"/>
                <w:sz w:val="22"/>
              </w:rPr>
              <w:t>98</w:t>
            </w:r>
          </w:p>
        </w:tc>
      </w:tr>
      <w:tr>
        <w:trPr>
          <w:cantSplit/>
        </w:trPr>
        <w:tc>
          <w:tcPr>
            <w:tcW w:type="dxa" w:w="2033"/>
            <w:vAlign w:val="center"/>
            <w:shd w:fill="FFFFFF"/>
          </w:tcPr>
          <w:p>
            <w:pPr>
              <w:spacing w:after="60"/>
            </w:pPr>
            <w:r>
              <w:rPr>
                <w:b/>
                <w:i w:val="0"/>
                <w:sz w:val="22"/>
              </w:rPr>
              <w:t>May</w:t>
            </w:r>
          </w:p>
        </w:tc>
        <w:tc>
          <w:tcPr>
            <w:tcW w:type="dxa" w:w="2033"/>
            <w:vAlign w:val="center"/>
            <w:shd w:fill="FFFFFF"/>
          </w:tcPr>
          <w:p>
            <w:pPr>
              <w:spacing w:after="60"/>
            </w:pPr>
            <w:r>
              <w:rPr>
                <w:b w:val="0"/>
                <w:i w:val="0"/>
                <w:sz w:val="22"/>
              </w:rPr>
              <w:t>61.6</w:t>
            </w:r>
          </w:p>
        </w:tc>
        <w:tc>
          <w:tcPr>
            <w:tcW w:type="dxa" w:w="2033"/>
            <w:vAlign w:val="center"/>
            <w:shd w:fill="FFFFFF"/>
          </w:tcPr>
          <w:p>
            <w:pPr>
              <w:spacing w:after="60"/>
            </w:pPr>
            <w:r>
              <w:rPr>
                <w:b w:val="0"/>
                <w:i w:val="0"/>
                <w:sz w:val="22"/>
              </w:rPr>
              <w:t>16.4</w:t>
            </w:r>
          </w:p>
        </w:tc>
        <w:tc>
          <w:tcPr>
            <w:tcW w:type="dxa" w:w="2033"/>
            <w:vAlign w:val="center"/>
            <w:shd w:fill="FFFFFF"/>
          </w:tcPr>
          <w:p>
            <w:pPr>
              <w:spacing w:after="60"/>
            </w:pPr>
            <w:r>
              <w:rPr>
                <w:b w:val="0"/>
                <w:i w:val="0"/>
                <w:sz w:val="22"/>
              </w:rPr>
              <w:t>4.04</w:t>
            </w:r>
          </w:p>
        </w:tc>
        <w:tc>
          <w:tcPr>
            <w:tcW w:type="dxa" w:w="2033"/>
            <w:vAlign w:val="center"/>
            <w:shd w:fill="FFFFFF"/>
          </w:tcPr>
          <w:p>
            <w:pPr>
              <w:spacing w:after="60"/>
            </w:pPr>
            <w:r>
              <w:rPr>
                <w:b w:val="0"/>
                <w:i w:val="0"/>
                <w:sz w:val="22"/>
              </w:rPr>
              <w:t>103</w:t>
            </w:r>
          </w:p>
        </w:tc>
      </w:tr>
      <w:tr>
        <w:trPr>
          <w:cantSplit/>
        </w:trPr>
        <w:tc>
          <w:tcPr>
            <w:tcW w:type="dxa" w:w="2033"/>
            <w:vAlign w:val="center"/>
            <w:shd w:fill="FFFFFF"/>
          </w:tcPr>
          <w:p>
            <w:pPr>
              <w:spacing w:after="60"/>
            </w:pPr>
            <w:r>
              <w:rPr>
                <w:b/>
                <w:i w:val="0"/>
                <w:sz w:val="22"/>
              </w:rPr>
              <w:t>Jun</w:t>
            </w:r>
          </w:p>
        </w:tc>
        <w:tc>
          <w:tcPr>
            <w:tcW w:type="dxa" w:w="2033"/>
            <w:vAlign w:val="center"/>
            <w:shd w:fill="FFFFFF"/>
          </w:tcPr>
          <w:p>
            <w:pPr>
              <w:spacing w:after="60"/>
            </w:pPr>
            <w:r>
              <w:rPr>
                <w:b w:val="0"/>
                <w:i w:val="0"/>
                <w:sz w:val="22"/>
              </w:rPr>
              <w:t>70.7</w:t>
            </w:r>
          </w:p>
        </w:tc>
        <w:tc>
          <w:tcPr>
            <w:tcW w:type="dxa" w:w="2033"/>
            <w:vAlign w:val="center"/>
            <w:shd w:fill="FFFFFF"/>
          </w:tcPr>
          <w:p>
            <w:pPr>
              <w:spacing w:after="60"/>
            </w:pPr>
            <w:r>
              <w:rPr>
                <w:b w:val="0"/>
                <w:i w:val="0"/>
                <w:sz w:val="22"/>
              </w:rPr>
              <w:t>21.5</w:t>
            </w:r>
          </w:p>
        </w:tc>
        <w:tc>
          <w:tcPr>
            <w:tcW w:type="dxa" w:w="2033"/>
            <w:vAlign w:val="center"/>
            <w:shd w:fill="FFFFFF"/>
          </w:tcPr>
          <w:p>
            <w:pPr>
              <w:spacing w:after="60"/>
            </w:pPr>
            <w:r>
              <w:rPr>
                <w:b w:val="0"/>
                <w:i w:val="0"/>
                <w:sz w:val="22"/>
              </w:rPr>
              <w:t>4.56</w:t>
            </w:r>
          </w:p>
        </w:tc>
        <w:tc>
          <w:tcPr>
            <w:tcW w:type="dxa" w:w="2033"/>
            <w:vAlign w:val="center"/>
            <w:shd w:fill="FFFFFF"/>
          </w:tcPr>
          <w:p>
            <w:pPr>
              <w:spacing w:after="60"/>
            </w:pPr>
            <w:r>
              <w:rPr>
                <w:b w:val="0"/>
                <w:i w:val="0"/>
                <w:sz w:val="22"/>
              </w:rPr>
              <w:t>116</w:t>
            </w:r>
          </w:p>
        </w:tc>
      </w:tr>
      <w:tr>
        <w:trPr>
          <w:cantSplit/>
        </w:trPr>
        <w:tc>
          <w:tcPr>
            <w:tcW w:type="dxa" w:w="2033"/>
            <w:vAlign w:val="center"/>
            <w:shd w:fill="FFFFFF"/>
          </w:tcPr>
          <w:p>
            <w:pPr>
              <w:spacing w:after="60"/>
            </w:pPr>
            <w:r>
              <w:rPr>
                <w:b/>
                <w:i w:val="0"/>
                <w:sz w:val="22"/>
              </w:rPr>
              <w:t>Jul</w:t>
            </w:r>
          </w:p>
        </w:tc>
        <w:tc>
          <w:tcPr>
            <w:tcW w:type="dxa" w:w="2033"/>
            <w:vAlign w:val="center"/>
            <w:shd w:fill="FFFFFF"/>
          </w:tcPr>
          <w:p>
            <w:pPr>
              <w:spacing w:after="60"/>
            </w:pPr>
            <w:r>
              <w:rPr>
                <w:b w:val="0"/>
                <w:i w:val="0"/>
                <w:sz w:val="22"/>
              </w:rPr>
              <w:t>73.6</w:t>
            </w:r>
          </w:p>
        </w:tc>
        <w:tc>
          <w:tcPr>
            <w:tcW w:type="dxa" w:w="2033"/>
            <w:vAlign w:val="center"/>
            <w:shd w:fill="FFFFFF"/>
          </w:tcPr>
          <w:p>
            <w:pPr>
              <w:spacing w:after="60"/>
            </w:pPr>
            <w:r>
              <w:rPr>
                <w:b w:val="0"/>
                <w:i w:val="0"/>
                <w:sz w:val="22"/>
              </w:rPr>
              <w:t>23.1</w:t>
            </w:r>
          </w:p>
        </w:tc>
        <w:tc>
          <w:tcPr>
            <w:tcW w:type="dxa" w:w="2033"/>
            <w:vAlign w:val="center"/>
            <w:shd w:fill="FFFFFF"/>
          </w:tcPr>
          <w:p>
            <w:pPr>
              <w:spacing w:after="60"/>
            </w:pPr>
            <w:r>
              <w:rPr>
                <w:b w:val="0"/>
                <w:i w:val="0"/>
                <w:sz w:val="22"/>
              </w:rPr>
              <w:t>4.08</w:t>
            </w:r>
          </w:p>
        </w:tc>
        <w:tc>
          <w:tcPr>
            <w:tcW w:type="dxa" w:w="2033"/>
            <w:vAlign w:val="center"/>
            <w:shd w:fill="FFFFFF"/>
          </w:tcPr>
          <w:p>
            <w:pPr>
              <w:spacing w:after="60"/>
            </w:pPr>
            <w:r>
              <w:rPr>
                <w:b w:val="0"/>
                <w:i w:val="0"/>
                <w:sz w:val="22"/>
              </w:rPr>
              <w:t>104</w:t>
            </w:r>
          </w:p>
        </w:tc>
      </w:tr>
      <w:tr>
        <w:trPr>
          <w:cantSplit/>
        </w:trPr>
        <w:tc>
          <w:tcPr>
            <w:tcW w:type="dxa" w:w="2033"/>
            <w:vAlign w:val="center"/>
            <w:shd w:fill="FFFFFF"/>
          </w:tcPr>
          <w:p>
            <w:pPr>
              <w:spacing w:after="60"/>
            </w:pPr>
            <w:r>
              <w:rPr>
                <w:b/>
                <w:i w:val="0"/>
                <w:sz w:val="22"/>
              </w:rPr>
              <w:t>Aug</w:t>
            </w:r>
          </w:p>
        </w:tc>
        <w:tc>
          <w:tcPr>
            <w:tcW w:type="dxa" w:w="2033"/>
            <w:vAlign w:val="center"/>
            <w:shd w:fill="FFFFFF"/>
          </w:tcPr>
          <w:p>
            <w:pPr>
              <w:spacing w:after="60"/>
            </w:pPr>
            <w:r>
              <w:rPr>
                <w:b w:val="0"/>
                <w:i w:val="0"/>
                <w:sz w:val="22"/>
              </w:rPr>
              <w:t>72.2</w:t>
            </w:r>
          </w:p>
        </w:tc>
        <w:tc>
          <w:tcPr>
            <w:tcW w:type="dxa" w:w="2033"/>
            <w:vAlign w:val="center"/>
            <w:shd w:fill="FFFFFF"/>
          </w:tcPr>
          <w:p>
            <w:pPr>
              <w:spacing w:after="60"/>
            </w:pPr>
            <w:r>
              <w:rPr>
                <w:b w:val="0"/>
                <w:i w:val="0"/>
                <w:sz w:val="22"/>
              </w:rPr>
              <w:t>22.3</w:t>
            </w:r>
          </w:p>
        </w:tc>
        <w:tc>
          <w:tcPr>
            <w:tcW w:type="dxa" w:w="2033"/>
            <w:vAlign w:val="center"/>
            <w:shd w:fill="FFFFFF"/>
          </w:tcPr>
          <w:p>
            <w:pPr>
              <w:spacing w:after="60"/>
            </w:pPr>
            <w:r>
              <w:rPr>
                <w:b w:val="0"/>
                <w:i w:val="0"/>
                <w:sz w:val="22"/>
              </w:rPr>
              <w:t>3.12</w:t>
            </w:r>
          </w:p>
        </w:tc>
        <w:tc>
          <w:tcPr>
            <w:tcW w:type="dxa" w:w="2033"/>
            <w:vAlign w:val="center"/>
            <w:shd w:fill="FFFFFF"/>
          </w:tcPr>
          <w:p>
            <w:pPr>
              <w:spacing w:after="60"/>
            </w:pPr>
            <w:r>
              <w:rPr>
                <w:b w:val="0"/>
                <w:i w:val="0"/>
                <w:sz w:val="22"/>
              </w:rPr>
              <w:t>79</w:t>
            </w:r>
          </w:p>
        </w:tc>
      </w:tr>
      <w:tr>
        <w:trPr>
          <w:cantSplit/>
        </w:trPr>
        <w:tc>
          <w:tcPr>
            <w:tcW w:type="dxa" w:w="2033"/>
            <w:vAlign w:val="center"/>
            <w:shd w:fill="FFFFFF"/>
          </w:tcPr>
          <w:p>
            <w:pPr>
              <w:spacing w:after="60"/>
            </w:pPr>
            <w:r>
              <w:rPr>
                <w:b/>
                <w:i w:val="0"/>
                <w:sz w:val="22"/>
              </w:rPr>
              <w:t>Sep</w:t>
            </w:r>
          </w:p>
        </w:tc>
        <w:tc>
          <w:tcPr>
            <w:tcW w:type="dxa" w:w="2033"/>
            <w:vAlign w:val="center"/>
            <w:shd w:fill="FFFFFF"/>
          </w:tcPr>
          <w:p>
            <w:pPr>
              <w:spacing w:after="60"/>
            </w:pPr>
            <w:r>
              <w:rPr>
                <w:b w:val="0"/>
                <w:i w:val="0"/>
                <w:sz w:val="22"/>
              </w:rPr>
              <w:t>65.5</w:t>
            </w:r>
          </w:p>
        </w:tc>
        <w:tc>
          <w:tcPr>
            <w:tcW w:type="dxa" w:w="2033"/>
            <w:vAlign w:val="center"/>
            <w:shd w:fill="FFFFFF"/>
          </w:tcPr>
          <w:p>
            <w:pPr>
              <w:spacing w:after="60"/>
            </w:pPr>
            <w:r>
              <w:rPr>
                <w:b w:val="0"/>
                <w:i w:val="0"/>
                <w:sz w:val="22"/>
              </w:rPr>
              <w:t>18.6</w:t>
            </w:r>
          </w:p>
        </w:tc>
        <w:tc>
          <w:tcPr>
            <w:tcW w:type="dxa" w:w="2033"/>
            <w:vAlign w:val="center"/>
            <w:shd w:fill="FFFFFF"/>
          </w:tcPr>
          <w:p>
            <w:pPr>
              <w:spacing w:after="60"/>
            </w:pPr>
            <w:r>
              <w:rPr>
                <w:b w:val="0"/>
                <w:i w:val="0"/>
                <w:sz w:val="22"/>
              </w:rPr>
              <w:t>2.59</w:t>
            </w:r>
          </w:p>
        </w:tc>
        <w:tc>
          <w:tcPr>
            <w:tcW w:type="dxa" w:w="2033"/>
            <w:vAlign w:val="center"/>
            <w:shd w:fill="FFFFFF"/>
          </w:tcPr>
          <w:p>
            <w:pPr>
              <w:spacing w:after="60"/>
            </w:pPr>
            <w:r>
              <w:rPr>
                <w:b w:val="0"/>
                <w:i w:val="0"/>
                <w:sz w:val="22"/>
              </w:rPr>
              <w:t>66</w:t>
            </w:r>
          </w:p>
        </w:tc>
      </w:tr>
      <w:tr>
        <w:trPr>
          <w:cantSplit/>
        </w:trPr>
        <w:tc>
          <w:tcPr>
            <w:tcW w:type="dxa" w:w="2033"/>
            <w:vAlign w:val="center"/>
            <w:shd w:fill="FFFFFF"/>
          </w:tcPr>
          <w:p>
            <w:pPr>
              <w:spacing w:after="60"/>
            </w:pPr>
            <w:r>
              <w:rPr>
                <w:b/>
                <w:i w:val="0"/>
                <w:sz w:val="22"/>
              </w:rPr>
              <w:t>Oct</w:t>
            </w:r>
          </w:p>
        </w:tc>
        <w:tc>
          <w:tcPr>
            <w:tcW w:type="dxa" w:w="2033"/>
            <w:vAlign w:val="center"/>
            <w:shd w:fill="FFFFFF"/>
          </w:tcPr>
          <w:p>
            <w:pPr>
              <w:spacing w:after="60"/>
            </w:pPr>
            <w:r>
              <w:rPr>
                <w:b w:val="0"/>
                <w:i w:val="0"/>
                <w:sz w:val="22"/>
              </w:rPr>
              <w:t>53.7</w:t>
            </w:r>
          </w:p>
        </w:tc>
        <w:tc>
          <w:tcPr>
            <w:tcW w:type="dxa" w:w="2033"/>
            <w:vAlign w:val="center"/>
            <w:shd w:fill="FFFFFF"/>
          </w:tcPr>
          <w:p>
            <w:pPr>
              <w:spacing w:after="60"/>
            </w:pPr>
            <w:r>
              <w:rPr>
                <w:b w:val="0"/>
                <w:i w:val="0"/>
                <w:sz w:val="22"/>
              </w:rPr>
              <w:t>12.1</w:t>
            </w:r>
          </w:p>
        </w:tc>
        <w:tc>
          <w:tcPr>
            <w:tcW w:type="dxa" w:w="2033"/>
            <w:vAlign w:val="center"/>
            <w:shd w:fill="FFFFFF"/>
          </w:tcPr>
          <w:p>
            <w:pPr>
              <w:spacing w:after="60"/>
            </w:pPr>
            <w:r>
              <w:rPr>
                <w:b w:val="0"/>
                <w:i w:val="0"/>
                <w:sz w:val="22"/>
              </w:rPr>
              <w:t>2.91</w:t>
            </w:r>
          </w:p>
        </w:tc>
        <w:tc>
          <w:tcPr>
            <w:tcW w:type="dxa" w:w="2033"/>
            <w:vAlign w:val="center"/>
            <w:shd w:fill="FFFFFF"/>
          </w:tcPr>
          <w:p>
            <w:pPr>
              <w:spacing w:after="60"/>
            </w:pPr>
            <w:r>
              <w:rPr>
                <w:b w:val="0"/>
                <w:i w:val="0"/>
                <w:sz w:val="22"/>
              </w:rPr>
              <w:t>74</w:t>
            </w:r>
          </w:p>
        </w:tc>
      </w:tr>
      <w:tr>
        <w:trPr>
          <w:cantSplit/>
        </w:trPr>
        <w:tc>
          <w:tcPr>
            <w:tcW w:type="dxa" w:w="2033"/>
            <w:vAlign w:val="center"/>
            <w:shd w:fill="FFFFFF"/>
          </w:tcPr>
          <w:p>
            <w:pPr>
              <w:spacing w:after="60"/>
            </w:pPr>
            <w:r>
              <w:rPr>
                <w:b/>
                <w:i w:val="0"/>
                <w:sz w:val="22"/>
              </w:rPr>
              <w:t>Nov</w:t>
            </w:r>
          </w:p>
        </w:tc>
        <w:tc>
          <w:tcPr>
            <w:tcW w:type="dxa" w:w="2033"/>
            <w:vAlign w:val="center"/>
            <w:shd w:fill="FFFFFF"/>
          </w:tcPr>
          <w:p>
            <w:pPr>
              <w:spacing w:after="60"/>
            </w:pPr>
            <w:r>
              <w:rPr>
                <w:b w:val="0"/>
                <w:i w:val="0"/>
                <w:sz w:val="22"/>
              </w:rPr>
              <w:t>41.3</w:t>
            </w:r>
          </w:p>
        </w:tc>
        <w:tc>
          <w:tcPr>
            <w:tcW w:type="dxa" w:w="2033"/>
            <w:vAlign w:val="center"/>
            <w:shd w:fill="FFFFFF"/>
          </w:tcPr>
          <w:p>
            <w:pPr>
              <w:spacing w:after="60"/>
            </w:pPr>
            <w:r>
              <w:rPr>
                <w:b w:val="0"/>
                <w:i w:val="0"/>
                <w:sz w:val="22"/>
              </w:rPr>
              <w:t>5.2</w:t>
            </w:r>
          </w:p>
        </w:tc>
        <w:tc>
          <w:tcPr>
            <w:tcW w:type="dxa" w:w="2033"/>
            <w:vAlign w:val="center"/>
            <w:shd w:fill="FFFFFF"/>
          </w:tcPr>
          <w:p>
            <w:pPr>
              <w:spacing w:after="60"/>
            </w:pPr>
            <w:r>
              <w:rPr>
                <w:b w:val="0"/>
                <w:i w:val="0"/>
                <w:sz w:val="22"/>
              </w:rPr>
              <w:t>2.87</w:t>
            </w:r>
          </w:p>
        </w:tc>
        <w:tc>
          <w:tcPr>
            <w:tcW w:type="dxa" w:w="2033"/>
            <w:vAlign w:val="center"/>
            <w:shd w:fill="FFFFFF"/>
          </w:tcPr>
          <w:p>
            <w:pPr>
              <w:spacing w:after="60"/>
            </w:pPr>
            <w:r>
              <w:rPr>
                <w:b w:val="0"/>
                <w:i w:val="0"/>
                <w:sz w:val="22"/>
              </w:rPr>
              <w:t>73</w:t>
            </w:r>
          </w:p>
        </w:tc>
      </w:tr>
      <w:tr>
        <w:trPr>
          <w:cantSplit/>
        </w:trPr>
        <w:tc>
          <w:tcPr>
            <w:tcW w:type="dxa" w:w="2033"/>
            <w:vAlign w:val="center"/>
            <w:shd w:fill="FFFFFF"/>
          </w:tcPr>
          <w:p>
            <w:pPr>
              <w:spacing w:after="60"/>
            </w:pPr>
            <w:r>
              <w:rPr>
                <w:b/>
                <w:i w:val="0"/>
                <w:sz w:val="22"/>
              </w:rPr>
              <w:t>Dec</w:t>
            </w:r>
          </w:p>
        </w:tc>
        <w:tc>
          <w:tcPr>
            <w:tcW w:type="dxa" w:w="2033"/>
            <w:vAlign w:val="center"/>
            <w:shd w:fill="FFFFFF"/>
          </w:tcPr>
          <w:p>
            <w:pPr>
              <w:spacing w:after="60"/>
            </w:pPr>
            <w:r>
              <w:rPr>
                <w:b w:val="0"/>
                <w:i w:val="0"/>
                <w:sz w:val="22"/>
              </w:rPr>
              <w:t>31.0</w:t>
            </w:r>
          </w:p>
        </w:tc>
        <w:tc>
          <w:tcPr>
            <w:tcW w:type="dxa" w:w="2033"/>
            <w:vAlign w:val="center"/>
            <w:shd w:fill="FFFFFF"/>
          </w:tcPr>
          <w:p>
            <w:pPr>
              <w:spacing w:after="60"/>
            </w:pPr>
            <w:r>
              <w:rPr>
                <w:b w:val="0"/>
                <w:i w:val="0"/>
                <w:sz w:val="22"/>
              </w:rPr>
              <w:t>-0.6</w:t>
            </w:r>
          </w:p>
        </w:tc>
        <w:tc>
          <w:tcPr>
            <w:tcW w:type="dxa" w:w="2033"/>
            <w:vAlign w:val="center"/>
            <w:shd w:fill="FFFFFF"/>
          </w:tcPr>
          <w:p>
            <w:pPr>
              <w:spacing w:after="60"/>
            </w:pPr>
            <w:r>
              <w:rPr>
                <w:b w:val="0"/>
                <w:i w:val="0"/>
                <w:sz w:val="22"/>
              </w:rPr>
              <w:t>2.29</w:t>
            </w:r>
          </w:p>
        </w:tc>
        <w:tc>
          <w:tcPr>
            <w:tcW w:type="dxa" w:w="2033"/>
            <w:vAlign w:val="center"/>
            <w:shd w:fill="FFFFFF"/>
          </w:tcPr>
          <w:p>
            <w:pPr>
              <w:spacing w:after="60"/>
            </w:pPr>
            <w:r>
              <w:rPr>
                <w:b w:val="0"/>
                <w:i w:val="0"/>
                <w:sz w:val="22"/>
              </w:rPr>
              <w:t>58</w:t>
            </w:r>
          </w:p>
        </w:tc>
      </w:tr>
    </w:tbl>
    <w:p>
      <w:pPr>
        <w:spacing w:after="20"/>
      </w:pPr>
    </w:p>
    <w:p>
      <w:pPr>
        <w:pStyle w:val="Heading2"/>
      </w:pPr>
      <w:r>
        <w:t>Seasonal activity</w:t>
      </w:r>
    </w:p>
    <w:p>
      <w:r>
        <w:rPr>
          <w:b w:val="0"/>
          <w:i w:val="0"/>
        </w:rPr>
        <w:t>Outdoor activity responds to seasonal warming, while colonies beside heated buildings may become active unusually early. Winter indoor swarms should be investigated rather than treated as normal outdoor timing.</w:t>
      </w:r>
    </w:p>
    <w:p>
      <w:r>
        <w:rPr>
          <w:b w:val="0"/>
          <w:i w:val="0"/>
        </w:rPr>
        <w:t>In the Northern Hemisphere, mating flights are commonly reported from late May through July, often near sunrise on still days. Local weather changes the timing. [ID, Pavement]</w:t>
      </w:r>
    </w:p>
    <w:p>
      <w:pPr>
        <w:pStyle w:val="Heading2"/>
      </w:pPr>
      <w:r>
        <w:t>The nest has its own climate</w:t>
      </w:r>
    </w:p>
    <w:p>
      <w:r>
        <w:rPr>
          <w:b w:val="0"/>
          <w:i w:val="0"/>
        </w:rPr>
        <w:t>Concrete can be much warmer than shaded soil. Compare shaded and sunny entrances at matched times, and record surface temperature separately from the weather-station air temperature.</w:t>
      </w:r>
    </w:p>
    <w:p>
      <w:r>
        <w:rPr>
          <w:b w:val="0"/>
          <w:i w:val="0"/>
        </w:rPr>
        <w:t>Sun, cover, soil depth, and indoor heating can shift exposure within a few steps. No single temperature or humidity target should be inferred from this regional climate table.</w:t>
      </w:r>
    </w:p>
    <w:p>
      <w:pPr>
        <w:pStyle w:val="Heading2"/>
      </w:pPr>
      <w:r>
        <w:t>Weather extremes and future change</w:t>
      </w:r>
    </w:p>
    <w:p>
      <w:r>
        <w:rPr>
          <w:b w:val="0"/>
          <w:i w:val="0"/>
        </w:rPr>
        <w:t>NOAA’s 2022 Indiana assessment projects warmer conditions and increased risks from heavy precipitation, while greater evaporation can intensify drought. These are regional projections; they do not predict the abundance of an individual ant species. [Climate]</w:t>
      </w:r>
    </w:p>
    <w:p>
      <w:r>
        <w:rPr>
          <w:b w:val="0"/>
          <w:i w:val="0"/>
        </w:rPr>
        <w:t>Observation suggestion: record the first spring workers and each swarm with the date, time, recent rain, and location. Compare several years before attributing a change to climate rather than food availability, habitat change, or observation effort.</w:t>
      </w:r>
    </w:p>
    <w:p>
      <w:pPr>
        <w:pStyle w:val="Heading2"/>
      </w:pPr>
      <w:r>
        <w:t>References</w:t>
      </w:r>
    </w:p>
    <w:p>
      <w:pPr>
        <w:pStyle w:val="Heading2"/>
      </w:pPr>
      <w:r>
        <w:t>Related Information Sheets</w:t>
      </w:r>
    </w:p>
    <w:p>
      <w:r>
        <w:rPr>
          <w:b w:val="0"/>
          <w:i w:val="0"/>
        </w:rPr>
        <w:t xml:space="preserve">Added September 22, 2026 · </w:t>
      </w:r>
      <w:hyperlink r:id="rId20">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1">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Pavement Ant — Ecology</w:t>
      </w:r>
    </w:p>
    <w:p>
      <w:r>
        <w:rPr>
          <w:b/>
        </w:rPr>
        <w:t xml:space="preserve">Online Information Sheet: </w:t>
      </w:r>
      <w:hyperlink r:id="rId23">
        <w:r>
          <w:rPr>
            <w:color w:val="245B43"/>
            <w:u w:val="single"/>
          </w:rPr>
          <w:t>planteducationproject.com/animals/pavement-ant/ecology/</w:t>
        </w:r>
      </w:hyperlink>
    </w:p>
    <w:p>
      <w:r>
        <w:rPr>
          <w:b w:val="0"/>
          <w:i w:val="0"/>
        </w:rPr>
        <w:t>🌿 Ecology Information Sheet</w:t>
      </w:r>
    </w:p>
    <w:p>
      <w:r>
        <w:rPr>
          <w:b w:val="0"/>
          <w:i/>
        </w:rPr>
        <w:t>Tetramorium immigrans</w:t>
      </w:r>
    </w:p>
    <w:p>
      <w:r>
        <w:rPr>
          <w:b w:val="0"/>
          <w:i w:val="0"/>
        </w:rPr>
        <w:t>Follow this ant’s feeding, nesting, and relationships with plants and other animals to understand its role in the local community.</w:t>
      </w:r>
    </w:p>
    <w:p>
      <w:pPr>
        <w:jc w:val="center"/>
      </w:pPr>
      <w:r>
        <w:drawing>
          <wp:inline xmlns:a="http://schemas.openxmlformats.org/drawingml/2006/main" xmlns:pic="http://schemas.openxmlformats.org/drawingml/2006/picture">
            <wp:extent cx="5120640" cy="2880360"/>
            <wp:docPr id="4" name="Picture 4"/>
            <wp:cNvGraphicFramePr>
              <a:graphicFrameLocks noChangeAspect="1"/>
            </wp:cNvGraphicFramePr>
            <a:graphic>
              <a:graphicData uri="http://schemas.openxmlformats.org/drawingml/2006/picture">
                <pic:pic>
                  <pic:nvPicPr>
                    <pic:cNvPr id="0" name="d942cd009667917bb0c1b742.jpg"/>
                    <pic:cNvPicPr/>
                  </pic:nvPicPr>
                  <pic:blipFill>
                    <a:blip r:embed="rId15"/>
                    <a:stretch>
                      <a:fillRect/>
                    </a:stretch>
                  </pic:blipFill>
                  <pic:spPr>
                    <a:xfrm>
                      <a:off x="0" y="0"/>
                      <a:ext cx="5120640" cy="2880360"/>
                    </a:xfrm>
                    <a:prstGeom prst="rect"/>
                  </pic:spPr>
                </pic:pic>
              </a:graphicData>
            </a:graphic>
          </wp:inline>
        </w:drawing>
      </w:r>
    </w:p>
    <w:p>
      <w:pPr>
        <w:pStyle w:val="Caption"/>
      </w:pPr>
      <w:r>
        <w:rPr>
          <w:b w:val="0"/>
          <w:i w:val="0"/>
        </w:rPr>
        <w:t>Pavement ants photographed in Guelph, Ontario. An introduced-range example.</w:t>
      </w:r>
      <w:r>
        <w:br/>
      </w:r>
      <w:r>
        <w:t xml:space="preserve">Photograph: Ryan Hodnett · </w:t>
      </w:r>
      <w:hyperlink r:id="rId19">
        <w:r>
          <w:rPr>
            <w:color w:val="245B43"/>
            <w:u w:val="single"/>
          </w:rPr>
          <w:t>Original source</w:t>
        </w:r>
      </w:hyperlink>
      <w:r>
        <w:t xml:space="preserve"> · </w:t>
      </w:r>
      <w:hyperlink r:id="rId17">
        <w:r>
          <w:rPr>
            <w:color w:val="245B43"/>
            <w:u w:val="single"/>
          </w:rPr>
          <w:t>CC BY-SA 4.0</w:t>
        </w:r>
      </w:hyperlink>
      <w:r>
        <w:t>. Resized proportionally.</w:t>
      </w:r>
    </w:p>
    <w:p>
      <w:pPr>
        <w:pStyle w:val="Heading2"/>
      </w:pPr>
      <w:r>
        <w:t>Food web role</w:t>
      </w:r>
    </w:p>
    <w:p>
      <w:r>
        <w:rPr>
          <w:b w:val="0"/>
          <w:i w:val="0"/>
        </w:rPr>
        <w:t>This introduced species is particularly successful in cities. The 2022 review describes substantial knowledge gaps and generally modest documented impacts compared with several more damaging invasive ants. Introduced status and a measured local impact are different findings. [Pavement]</w:t>
      </w:r>
    </w:p>
    <w:p>
      <w:pPr>
        <w:pStyle w:val="Heading2"/>
      </w:pPr>
      <w:r>
        <w:t>Relationships with plants</w:t>
      </w:r>
    </w:p>
    <w:p>
      <w:r>
        <w:rPr>
          <w:b w:val="0"/>
          <w:i w:val="0"/>
        </w:rPr>
        <w:t>The main garden issue is usually location, not direct feeding damage to living plants. An ant carrying a seed may be moving, consuming, or discarding it; watch the outcome before calling the event seed dispersal.</w:t>
      </w:r>
    </w:p>
    <w:p>
      <w:r>
        <w:rPr>
          <w:b w:val="0"/>
          <w:i w:val="0"/>
        </w:rPr>
        <w:t>When ants visit a plant, distinguish feeding on plant tissue, gathering nectar or honeydew, hunting, and simple passage. Seeing ants on a flower does not establish effective pollination. [UC]</w:t>
      </w:r>
    </w:p>
    <w:p>
      <w:pPr>
        <w:pStyle w:val="Heading2"/>
      </w:pPr>
      <w:r>
        <w:t>Colony and community</w:t>
      </w:r>
    </w:p>
    <w:p>
      <w:r>
        <w:rPr>
          <w:b w:val="0"/>
          <w:i w:val="0"/>
        </w:rPr>
        <w:t>A mated queen usually founds a colony independently. Mature colonies normally have one reproductive queen. Workers rear eggs, larvae, and pupae in underground chambers. Rival neighboring colonies may engage in conspicuous contests.</w:t>
      </w:r>
    </w:p>
    <w:p>
      <w:r>
        <w:rPr>
          <w:b w:val="0"/>
          <w:i w:val="0"/>
        </w:rPr>
        <w:t>Widespread introduced urban ant; local ecological effects vary. Morris records the older pavement-ant name Tetramorium caespitum in Wayne County. That historical record alone is not a verified modern Tippecanoe record of T. immigrans. [IN]</w:t>
      </w:r>
    </w:p>
    <w:p>
      <w:pPr>
        <w:pStyle w:val="Heading2"/>
      </w:pPr>
      <w:r>
        <w:t>A question to investigate</w:t>
      </w:r>
    </w:p>
    <w:p>
      <w:r>
        <w:rPr>
          <w:b w:val="0"/>
          <w:i w:val="0"/>
        </w:rPr>
        <w:t>How do trail traffic and the number of active entrances differ between sunny and shaded pavement edges?</w:t>
      </w:r>
    </w:p>
    <w:p>
      <w:r>
        <w:rPr>
          <w:b w:val="0"/>
          <w:i w:val="0"/>
        </w:rPr>
        <w:t>Observe for five minutes on at least three occasions. Record what workers carry or contact, note the weather, and include a nearby comparison area. Visible traffic is not a measure of total colony size.</w:t>
      </w:r>
    </w:p>
    <w:p>
      <w:pPr>
        <w:pStyle w:val="Heading2"/>
      </w:pPr>
      <w:r>
        <w:t>Management implication</w:t>
      </w:r>
    </w:p>
    <w:p>
      <w:r>
        <w:rPr>
          <w:b w:val="0"/>
          <w:i w:val="0"/>
        </w:rPr>
        <w:t>Tolerate outdoor colonies when they are not causing a practical problem. Indoors, remove food residues and seal entry routes. If needed, choose a labeled bait and follow progress over time rather than judging success by dead workers alone.</w:t>
      </w:r>
    </w:p>
    <w:p>
      <w:r>
        <w:rPr>
          <w:b w:val="0"/>
          <w:i w:val="0"/>
        </w:rPr>
        <w:t>Retain the observation record after any action. Compare the original problem, plant condition, and ant traffic rather than using the disappearance of every ant as the goal. [UC]</w:t>
      </w:r>
    </w:p>
    <w:p>
      <w:pPr>
        <w:pStyle w:val="Heading2"/>
      </w:pPr>
      <w:r>
        <w:t>Useful terms</w:t>
      </w:r>
    </w:p>
    <w:p>
      <w:r>
        <w:rPr>
          <w:b w:val="0"/>
          <w:i w:val="0"/>
        </w:rPr>
        <w:t>Honeydew is sugary excretion from sap-feeding insects. Brood means eggs, larvae, and pupae. A mutualism benefits both partners.</w:t>
      </w:r>
    </w:p>
    <w:p>
      <w:pPr>
        <w:pStyle w:val="Heading2"/>
      </w:pPr>
      <w:r>
        <w:t>Related Information Sheets</w:t>
      </w:r>
    </w:p>
    <w:p>
      <w:r>
        <w:rPr>
          <w:b w:val="0"/>
          <w:i w:val="0"/>
        </w:rPr>
        <w:t xml:space="preserve">Added September 22, 2026 · </w:t>
      </w:r>
      <w:hyperlink r:id="rId20">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1">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Pavement Ant — Environment</w:t>
      </w:r>
    </w:p>
    <w:p>
      <w:r>
        <w:rPr>
          <w:b/>
        </w:rPr>
        <w:t xml:space="preserve">Online Information Sheet: </w:t>
      </w:r>
      <w:hyperlink r:id="rId24">
        <w:r>
          <w:rPr>
            <w:color w:val="245B43"/>
            <w:u w:val="single"/>
          </w:rPr>
          <w:t>planteducationproject.com/animals/pavement-ant/environment/</w:t>
        </w:r>
      </w:hyperlink>
    </w:p>
    <w:p>
      <w:r>
        <w:rPr>
          <w:b w:val="0"/>
          <w:i w:val="0"/>
        </w:rPr>
        <w:t>🌿 Environment Information Sheet</w:t>
      </w:r>
    </w:p>
    <w:p>
      <w:r>
        <w:rPr>
          <w:b w:val="0"/>
          <w:i/>
        </w:rPr>
        <w:t>Tetramorium immigrans</w:t>
      </w:r>
    </w:p>
    <w:p>
      <w:r>
        <w:rPr>
          <w:b w:val="0"/>
          <w:i w:val="0"/>
        </w:rPr>
        <w:t>The nest environment explains where this ant can live and how it reaches food. Compare soil, shelter, moisture, and nearby vegetation before treating an entire landscape as one habitat.</w:t>
      </w:r>
    </w:p>
    <w:p>
      <w:pPr>
        <w:jc w:val="center"/>
      </w:pPr>
      <w:r>
        <w:drawing>
          <wp:inline xmlns:a="http://schemas.openxmlformats.org/drawingml/2006/main" xmlns:pic="http://schemas.openxmlformats.org/drawingml/2006/picture">
            <wp:extent cx="5120640" cy="2880360"/>
            <wp:docPr id="5" name="Picture 5"/>
            <wp:cNvGraphicFramePr>
              <a:graphicFrameLocks noChangeAspect="1"/>
            </wp:cNvGraphicFramePr>
            <a:graphic>
              <a:graphicData uri="http://schemas.openxmlformats.org/drawingml/2006/picture">
                <pic:pic>
                  <pic:nvPicPr>
                    <pic:cNvPr id="0" name="d942cd009667917bb0c1b742.jpg"/>
                    <pic:cNvPicPr/>
                  </pic:nvPicPr>
                  <pic:blipFill>
                    <a:blip r:embed="rId15"/>
                    <a:stretch>
                      <a:fillRect/>
                    </a:stretch>
                  </pic:blipFill>
                  <pic:spPr>
                    <a:xfrm>
                      <a:off x="0" y="0"/>
                      <a:ext cx="5120640" cy="2880360"/>
                    </a:xfrm>
                    <a:prstGeom prst="rect"/>
                  </pic:spPr>
                </pic:pic>
              </a:graphicData>
            </a:graphic>
          </wp:inline>
        </w:drawing>
      </w:r>
    </w:p>
    <w:p>
      <w:pPr>
        <w:pStyle w:val="Caption"/>
      </w:pPr>
      <w:r>
        <w:rPr>
          <w:b w:val="0"/>
          <w:i w:val="0"/>
        </w:rPr>
        <w:t>Immigrant Pavement Ants (Tetramorium immigrans) - Guelph, Ontario 2020-07-26.jpg • Ryan Hodnett • CC BY-SA 4.0</w:t>
      </w:r>
      <w:r>
        <w:br/>
      </w:r>
      <w:r>
        <w:t xml:space="preserve">Photograph: Ryan Hodnett · </w:t>
      </w:r>
      <w:hyperlink r:id="rId19">
        <w:r>
          <w:rPr>
            <w:color w:val="245B43"/>
            <w:u w:val="single"/>
          </w:rPr>
          <w:t>Original source</w:t>
        </w:r>
      </w:hyperlink>
      <w:r>
        <w:t xml:space="preserve"> · </w:t>
      </w:r>
      <w:hyperlink r:id="rId17">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6" name="Picture 6"/>
            <wp:cNvGraphicFramePr>
              <a:graphicFrameLocks noChangeAspect="1"/>
            </wp:cNvGraphicFramePr>
            <a:graphic>
              <a:graphicData uri="http://schemas.openxmlformats.org/drawingml/2006/picture">
                <pic:pic>
                  <pic:nvPicPr>
                    <pic:cNvPr id="0" name="283fcc6808ca00b87a983a57.jpg"/>
                    <pic:cNvPicPr/>
                  </pic:nvPicPr>
                  <pic:blipFill>
                    <a:blip r:embed="rId18"/>
                    <a:stretch>
                      <a:fillRect/>
                    </a:stretch>
                  </pic:blipFill>
                  <pic:spPr>
                    <a:xfrm>
                      <a:off x="0" y="0"/>
                      <a:ext cx="5120640" cy="3840480"/>
                    </a:xfrm>
                    <a:prstGeom prst="rect"/>
                  </pic:spPr>
                </pic:pic>
              </a:graphicData>
            </a:graphic>
          </wp:inline>
        </w:drawing>
      </w:r>
    </w:p>
    <w:p>
      <w:pPr>
        <w:pStyle w:val="Caption"/>
      </w:pPr>
      <w:r>
        <w:rPr>
          <w:b w:val="0"/>
          <w:i w:val="0"/>
        </w:rPr>
        <w:t>Hoosier Prairie P7150009.jpg • Chris Light, National Park Service • Public domain</w:t>
      </w:r>
      <w:r>
        <w:br/>
      </w:r>
      <w:r>
        <w:t xml:space="preserve">Photograph: Chris Light, National Park Service · </w:t>
      </w:r>
      <w:hyperlink r:id="rId25">
        <w:r>
          <w:rPr>
            <w:color w:val="245B43"/>
            <w:u w:val="single"/>
          </w:rPr>
          <w:t>Original source</w:t>
        </w:r>
      </w:hyperlink>
      <w:r>
        <w:t xml:space="preserve"> · </w:t>
      </w:r>
      <w:hyperlink r:id="rId26">
        <w:r>
          <w:rPr>
            <w:color w:val="245B43"/>
            <w:u w:val="single"/>
          </w:rPr>
          <w:t>Public domain</w:t>
        </w:r>
      </w:hyperlink>
      <w:r>
        <w:t>. Resized proportionally.</w:t>
      </w:r>
    </w:p>
    <w:p>
      <w:pPr>
        <w:pStyle w:val="Heading2"/>
      </w:pPr>
      <w:r>
        <w:t>Habitat and shelter</w:t>
      </w:r>
    </w:p>
    <w:p>
      <w:r>
        <w:rPr>
          <w:b w:val="0"/>
          <w:i w:val="0"/>
        </w:rPr>
        <w:t>Soil beneath or beside sidewalks, driveways, stones, and other cover, especially in open disturbed places. Excavated soil at cracks can reveal entrances, although the nest extends beyond what is visible. [ID]</w:t>
      </w:r>
    </w:p>
    <w:p>
      <w:pPr>
        <w:pStyle w:val="Heading2"/>
      </w:pPr>
      <w:r>
        <w:t>Water and the nesting substrate</w:t>
      </w:r>
    </w:p>
    <w:p>
      <w:r>
        <w:rPr>
          <w:b w:val="0"/>
          <w:i w:val="0"/>
        </w:rPr>
        <w:t>Paving changes the delivery of rain and the rate of surface heating. Cracks concentrate runoff, while nearby soil may remain dry. A single dry-looking surface does not describe the deeper nest.</w:t>
      </w:r>
    </w:p>
    <w:p>
      <w:pPr>
        <w:pStyle w:val="Heading2"/>
      </w:pPr>
      <w:r>
        <w:t>Food routes and vegetation</w:t>
      </w:r>
    </w:p>
    <w:p>
      <w:r>
        <w:rPr>
          <w:b w:val="0"/>
          <w:i w:val="0"/>
        </w:rPr>
        <w:t>An omnivorous scavenger that collects sugary foods, insect material, and other small food particles. Workers can recruit nestmates quickly to a concentrated food source.</w:t>
      </w:r>
    </w:p>
    <w:p>
      <w:r>
        <w:rPr>
          <w:b w:val="0"/>
          <w:i w:val="0"/>
        </w:rPr>
        <w:t>The main garden issue is usually location, not direct feeding damage to living plants. An ant carrying a seed may be moving, consuming, or discarding it; watch the outcome before calling the event seed dispersal. [ID, UC]</w:t>
      </w:r>
    </w:p>
    <w:p>
      <w:pPr>
        <w:pStyle w:val="Heading2"/>
      </w:pPr>
      <w:r>
        <w:t>Comparison with Lafayette</w:t>
      </w:r>
    </w:p>
    <w:p>
      <w:r>
        <w:rPr>
          <w:b w:val="0"/>
          <w:i w:val="0"/>
        </w:rPr>
        <w:t>Concrete can be much warmer than shaded soil. Compare shaded and sunny entrances at matched times, and record surface temperature separately from the weather-station air temperature.</w:t>
      </w:r>
    </w:p>
    <w:p>
      <w:r>
        <w:rPr>
          <w:b w:val="0"/>
          <w:i w:val="0"/>
        </w:rPr>
        <w:t>Morris records the older pavement-ant name Tetramorium caespitum in Wayne County. That historical record alone is not a verified modern Tippecanoe record of T. immigrans. [IN]</w:t>
      </w:r>
    </w:p>
    <w:p>
      <w:pPr>
        <w:pStyle w:val="Heading2"/>
      </w:pPr>
      <w:r>
        <w:t>Manage the setting</w:t>
      </w:r>
    </w:p>
    <w:p>
      <w:r>
        <w:rPr>
          <w:b w:val="0"/>
          <w:i w:val="0"/>
        </w:rPr>
        <w:t>Observe pavement edges, soil joints, and nearby vegetation without lifting heavy slabs. Record entrances separately; several entrances may belong to one colony.</w:t>
      </w:r>
    </w:p>
    <w:p>
      <w:r>
        <w:rPr>
          <w:b w:val="0"/>
          <w:i w:val="0"/>
        </w:rPr>
        <w:t>Keep a record of the actual conflict: indoor food contamination, structural nesting, a blocked path, or no practical problem. An outdoor ant population does not by itself call for control. [PU]</w:t>
      </w:r>
    </w:p>
    <w:p>
      <w:pPr>
        <w:pStyle w:val="Heading2"/>
      </w:pPr>
      <w:r>
        <w:t>A simple habitat observation</w:t>
      </w:r>
    </w:p>
    <w:p>
      <w:r>
        <w:rPr>
          <w:b w:val="0"/>
          <w:i w:val="0"/>
        </w:rPr>
        <w:t>Choose two nearby places with contrasting cover. Observe each for five minutes at a similar time of day. Record shade, substrate, wetness, visible entrances, and the number of workers crossing a fixed line. Repeat on several days; a trail count measures visible traffic, not colony size.</w:t>
      </w:r>
    </w:p>
    <w:p>
      <w:pPr>
        <w:pStyle w:val="Heading2"/>
      </w:pPr>
      <w:r>
        <w:t>Related Information Sheets</w:t>
      </w:r>
    </w:p>
    <w:p>
      <w:r>
        <w:rPr>
          <w:b w:val="0"/>
          <w:i w:val="0"/>
        </w:rPr>
        <w:t xml:space="preserve">Added September 22, 2026 · </w:t>
      </w:r>
      <w:hyperlink r:id="rId20">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1">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pavement-ant/" TargetMode="External"/><Relationship Id="rId12" Type="http://schemas.openxmlformats.org/officeDocument/2006/relationships/image" Target="media/image1.jpg"/><Relationship Id="rId13" Type="http://schemas.openxmlformats.org/officeDocument/2006/relationships/hyperlink" Target="https://commons.wikimedia.org/wiki/File:Tetramorium_immigrans_casent0005827_profile_1.jpg" TargetMode="External"/><Relationship Id="rId14" Type="http://schemas.openxmlformats.org/officeDocument/2006/relationships/hyperlink" Target="https://creativecommons.org/licenses/by/4.0/" TargetMode="External"/><Relationship Id="rId15" Type="http://schemas.openxmlformats.org/officeDocument/2006/relationships/image" Target="media/image2.jpg"/><Relationship Id="rId16" Type="http://schemas.openxmlformats.org/officeDocument/2006/relationships/hyperlink" Target="https://commons.wikimedia.org/wiki/File:Tetramorium_immigrans_male.jpg" TargetMode="External"/><Relationship Id="rId17" Type="http://schemas.openxmlformats.org/officeDocument/2006/relationships/hyperlink" Target="https://creativecommons.org/licenses/by-sa/4.0/" TargetMode="External"/><Relationship Id="rId18" Type="http://schemas.openxmlformats.org/officeDocument/2006/relationships/image" Target="media/image3.jpg"/><Relationship Id="rId19" Type="http://schemas.openxmlformats.org/officeDocument/2006/relationships/hyperlink" Target="https://commons.wikimedia.org/wiki/File:Immigrant_Pavement_Ants_(Tetramorium_immigrans)_-_Guelph,_Ontario_2020-07-26.jpg" TargetMode="External"/><Relationship Id="rId20" Type="http://schemas.openxmlformats.org/officeDocument/2006/relationships/hyperlink" Target="https://planteducationproject.com/information-sheets/master-index/" TargetMode="External"/><Relationship Id="rId21" Type="http://schemas.openxmlformats.org/officeDocument/2006/relationships/hyperlink" Target="https://creativecommons.org/licenses/by-nc/4.0/" TargetMode="External"/><Relationship Id="rId22" Type="http://schemas.openxmlformats.org/officeDocument/2006/relationships/hyperlink" Target="https://planteducationproject.com/animals/pavement-ant/climate/" TargetMode="External"/><Relationship Id="rId23" Type="http://schemas.openxmlformats.org/officeDocument/2006/relationships/hyperlink" Target="https://planteducationproject.com/animals/pavement-ant/ecology/" TargetMode="External"/><Relationship Id="rId24" Type="http://schemas.openxmlformats.org/officeDocument/2006/relationships/hyperlink" Target="https://planteducationproject.com/animals/pavement-ant/environment/" TargetMode="External"/><Relationship Id="rId25" Type="http://schemas.openxmlformats.org/officeDocument/2006/relationships/hyperlink" Target="https://commons.wikimedia.org/wiki/File:Hoosier_Prairie_P7150009.jpg" TargetMode="External"/><Relationship Id="rId26" Type="http://schemas.openxmlformats.org/officeDocument/2006/relationships/hyperlink" Target="https://creativecommons.org/publicdomain/mark/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pavement ant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