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Japanese Beetle</w:t>
      </w:r>
    </w:p>
    <w:p>
      <w:pPr>
        <w:spacing w:after="320"/>
      </w:pPr>
      <w:r>
        <w:t>Combined Information Sheets</w:t>
      </w:r>
    </w:p>
    <w:p>
      <w:pPr>
        <w:pStyle w:val="Heading1"/>
      </w:pPr>
      <w:r>
        <w:t>Japanese Beetle</w:t>
      </w:r>
    </w:p>
    <w:p>
      <w:r>
        <w:rPr>
          <w:b/>
        </w:rPr>
        <w:t xml:space="preserve">Online Information Sheet: </w:t>
      </w:r>
      <w:hyperlink r:id="rId11">
        <w:r>
          <w:rPr>
            <w:color w:val="245B43"/>
            <w:u w:val="single"/>
          </w:rPr>
          <w:t>planteducationproject.com/animals/japanese-beetle/</w:t>
        </w:r>
      </w:hyperlink>
    </w:p>
    <w:p>
      <w:r>
        <w:rPr>
          <w:b w:val="0"/>
          <w:i w:val="0"/>
        </w:rPr>
        <w:t>🌿 Animal Information Sheet</w:t>
      </w:r>
    </w:p>
    <w:p>
      <w:r>
        <w:rPr>
          <w:b w:val="0"/>
          <w:i/>
        </w:rPr>
        <w:t>Popillia japonica</w:t>
      </w:r>
    </w:p>
    <w:p>
      <w:pPr>
        <w:pStyle w:val="Heading2"/>
      </w:pPr>
      <w:r>
        <w:t>Invasive plant and turf pest in Indiana</w:t>
      </w:r>
    </w:p>
    <w:p>
      <w:r>
        <w:rPr>
          <w:b/>
          <w:i w:val="0"/>
        </w:rPr>
        <w:t xml:space="preserve">Main point. </w:t>
      </w:r>
      <w:r>
        <w:t>Japanese beetles damage plants twice: adults skeletonize leaves and flowers, while soil-dwelling grubs feed on grass roots. For a small garden, inspect often and knock adults into soapy water early in the day. Treat lawns only after confirming damaging grub numbers. Traps are useful for monitoring but can increase nearby plant damage.</w:t>
      </w:r>
    </w:p>
    <w:p>
      <w:pPr>
        <w:pStyle w:val="Heading2"/>
      </w:pPr>
      <w:r>
        <w:t>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Scientific name</w:t>
            </w:r>
          </w:p>
        </w:tc>
        <w:tc>
          <w:tcPr>
            <w:tcW w:type="dxa" w:w="5083"/>
            <w:vAlign w:val="center"/>
            <w:shd w:fill="E9EDF0"/>
          </w:tcPr>
          <w:p>
            <w:pPr>
              <w:spacing w:after="60"/>
            </w:pPr>
            <w:r>
              <w:rPr>
                <w:b/>
                <w:i w:val="0"/>
                <w:sz w:val="22"/>
              </w:rPr>
              <w:t>Popillia japonica</w:t>
            </w:r>
          </w:p>
        </w:tc>
      </w:tr>
      <w:tr>
        <w:trPr>
          <w:cantSplit/>
        </w:trPr>
        <w:tc>
          <w:tcPr>
            <w:tcW w:type="dxa" w:w="5083"/>
            <w:vAlign w:val="center"/>
            <w:shd w:fill="FFFFFF"/>
          </w:tcPr>
          <w:p>
            <w:pPr>
              <w:spacing w:after="60"/>
            </w:pPr>
            <w:r>
              <w:rPr>
                <w:b/>
                <w:i w:val="0"/>
                <w:sz w:val="22"/>
              </w:rPr>
              <w:t>Origin</w:t>
            </w:r>
          </w:p>
        </w:tc>
        <w:tc>
          <w:tcPr>
            <w:tcW w:type="dxa" w:w="5083"/>
            <w:vAlign w:val="center"/>
            <w:shd w:fill="FFFFFF"/>
          </w:tcPr>
          <w:p>
            <w:pPr>
              <w:spacing w:after="60"/>
            </w:pPr>
            <w:r>
              <w:rPr>
                <w:b w:val="0"/>
                <w:i w:val="0"/>
                <w:sz w:val="22"/>
              </w:rPr>
              <w:t>Japan; introduced to the United States</w:t>
            </w:r>
          </w:p>
        </w:tc>
      </w:tr>
      <w:tr>
        <w:trPr>
          <w:cantSplit/>
        </w:trPr>
        <w:tc>
          <w:tcPr>
            <w:tcW w:type="dxa" w:w="5083"/>
            <w:vAlign w:val="center"/>
            <w:shd w:fill="FFFFFF"/>
          </w:tcPr>
          <w:p>
            <w:pPr>
              <w:spacing w:after="60"/>
            </w:pPr>
            <w:r>
              <w:rPr>
                <w:b/>
                <w:i w:val="0"/>
                <w:sz w:val="22"/>
              </w:rPr>
              <w:t>Indiana status</w:t>
            </w:r>
          </w:p>
        </w:tc>
        <w:tc>
          <w:tcPr>
            <w:tcW w:type="dxa" w:w="5083"/>
            <w:vAlign w:val="center"/>
            <w:shd w:fill="FFFFFF"/>
          </w:tcPr>
          <w:p>
            <w:pPr>
              <w:spacing w:after="60"/>
            </w:pPr>
            <w:r>
              <w:rPr>
                <w:b w:val="0"/>
                <w:i w:val="0"/>
                <w:sz w:val="22"/>
              </w:rPr>
              <w:t>Non-native, invasive, and widespread</w:t>
            </w:r>
          </w:p>
        </w:tc>
      </w:tr>
      <w:tr>
        <w:trPr>
          <w:cantSplit/>
        </w:trPr>
        <w:tc>
          <w:tcPr>
            <w:tcW w:type="dxa" w:w="5083"/>
            <w:vAlign w:val="center"/>
            <w:shd w:fill="FFFFFF"/>
          </w:tcPr>
          <w:p>
            <w:pPr>
              <w:spacing w:after="60"/>
            </w:pPr>
            <w:r>
              <w:rPr>
                <w:b/>
                <w:i w:val="0"/>
                <w:sz w:val="22"/>
              </w:rPr>
              <w:t>Adult size</w:t>
            </w:r>
          </w:p>
        </w:tc>
        <w:tc>
          <w:tcPr>
            <w:tcW w:type="dxa" w:w="5083"/>
            <w:vAlign w:val="center"/>
            <w:shd w:fill="FFFFFF"/>
          </w:tcPr>
          <w:p>
            <w:pPr>
              <w:spacing w:after="60"/>
            </w:pPr>
            <w:r>
              <w:rPr>
                <w:b w:val="0"/>
                <w:i w:val="0"/>
                <w:sz w:val="22"/>
              </w:rPr>
              <w:t>About 3/8 to 1/2 inch long</w:t>
            </w:r>
          </w:p>
        </w:tc>
      </w:tr>
      <w:tr>
        <w:trPr>
          <w:cantSplit/>
        </w:trPr>
        <w:tc>
          <w:tcPr>
            <w:tcW w:type="dxa" w:w="5083"/>
            <w:vAlign w:val="center"/>
            <w:shd w:fill="FFFFFF"/>
          </w:tcPr>
          <w:p>
            <w:pPr>
              <w:spacing w:after="60"/>
            </w:pPr>
            <w:r>
              <w:rPr>
                <w:b/>
                <w:i w:val="0"/>
                <w:sz w:val="22"/>
              </w:rPr>
              <w:t>Adult season in Indiana</w:t>
            </w:r>
          </w:p>
        </w:tc>
        <w:tc>
          <w:tcPr>
            <w:tcW w:type="dxa" w:w="5083"/>
            <w:vAlign w:val="center"/>
            <w:shd w:fill="FFFFFF"/>
          </w:tcPr>
          <w:p>
            <w:pPr>
              <w:spacing w:after="60"/>
            </w:pPr>
            <w:r>
              <w:rPr>
                <w:b w:val="0"/>
                <w:i w:val="0"/>
                <w:sz w:val="22"/>
              </w:rPr>
              <w:t>Usually mid-June through August</w:t>
            </w:r>
          </w:p>
        </w:tc>
      </w:tr>
      <w:tr>
        <w:trPr>
          <w:cantSplit/>
        </w:trPr>
        <w:tc>
          <w:tcPr>
            <w:tcW w:type="dxa" w:w="5083"/>
            <w:vAlign w:val="center"/>
            <w:shd w:fill="FFFFFF"/>
          </w:tcPr>
          <w:p>
            <w:pPr>
              <w:spacing w:after="60"/>
            </w:pPr>
            <w:r>
              <w:rPr>
                <w:b/>
                <w:i w:val="0"/>
                <w:sz w:val="22"/>
              </w:rPr>
              <w:t>Generation</w:t>
            </w:r>
          </w:p>
        </w:tc>
        <w:tc>
          <w:tcPr>
            <w:tcW w:type="dxa" w:w="5083"/>
            <w:vAlign w:val="center"/>
            <w:shd w:fill="FFFFFF"/>
          </w:tcPr>
          <w:p>
            <w:pPr>
              <w:spacing w:after="60"/>
            </w:pPr>
            <w:r>
              <w:rPr>
                <w:b w:val="0"/>
                <w:i w:val="0"/>
                <w:sz w:val="22"/>
              </w:rPr>
              <w:t>One generation per year</w:t>
            </w:r>
          </w:p>
        </w:tc>
      </w:tr>
      <w:tr>
        <w:trPr>
          <w:cantSplit/>
        </w:trPr>
        <w:tc>
          <w:tcPr>
            <w:tcW w:type="dxa" w:w="5083"/>
            <w:vAlign w:val="center"/>
            <w:shd w:fill="FFFFFF"/>
          </w:tcPr>
          <w:p>
            <w:pPr>
              <w:spacing w:after="60"/>
            </w:pPr>
            <w:r>
              <w:rPr>
                <w:b/>
                <w:i w:val="0"/>
                <w:sz w:val="22"/>
              </w:rPr>
              <w:t>Primary adult damage</w:t>
            </w:r>
          </w:p>
        </w:tc>
        <w:tc>
          <w:tcPr>
            <w:tcW w:type="dxa" w:w="5083"/>
            <w:vAlign w:val="center"/>
            <w:shd w:fill="FFFFFF"/>
          </w:tcPr>
          <w:p>
            <w:pPr>
              <w:spacing w:after="60"/>
            </w:pPr>
            <w:r>
              <w:rPr>
                <w:b w:val="0"/>
                <w:i w:val="0"/>
                <w:sz w:val="22"/>
              </w:rPr>
              <w:t>Skeletonized leaves, damaged flowers, and feeding on fruit</w:t>
            </w:r>
          </w:p>
        </w:tc>
      </w:tr>
      <w:tr>
        <w:trPr>
          <w:cantSplit/>
        </w:trPr>
        <w:tc>
          <w:tcPr>
            <w:tcW w:type="dxa" w:w="5083"/>
            <w:vAlign w:val="center"/>
            <w:shd w:fill="FFFFFF"/>
          </w:tcPr>
          <w:p>
            <w:pPr>
              <w:spacing w:after="60"/>
            </w:pPr>
            <w:r>
              <w:rPr>
                <w:b/>
                <w:i w:val="0"/>
                <w:sz w:val="22"/>
              </w:rPr>
              <w:t>Primary grub damage</w:t>
            </w:r>
          </w:p>
        </w:tc>
        <w:tc>
          <w:tcPr>
            <w:tcW w:type="dxa" w:w="5083"/>
            <w:vAlign w:val="center"/>
            <w:shd w:fill="FFFFFF"/>
          </w:tcPr>
          <w:p>
            <w:pPr>
              <w:spacing w:after="60"/>
            </w:pPr>
            <w:r>
              <w:rPr>
                <w:b w:val="0"/>
                <w:i w:val="0"/>
                <w:sz w:val="22"/>
              </w:rPr>
              <w:t>Root loss, thinning or brown turf, and sod that lifts easily</w:t>
            </w:r>
          </w:p>
        </w:tc>
      </w:tr>
      <w:tr>
        <w:trPr>
          <w:cantSplit/>
        </w:trPr>
        <w:tc>
          <w:tcPr>
            <w:tcW w:type="dxa" w:w="5083"/>
            <w:vAlign w:val="center"/>
            <w:shd w:fill="FFFFFF"/>
          </w:tcPr>
          <w:p>
            <w:pPr>
              <w:spacing w:after="60"/>
            </w:pPr>
            <w:r>
              <w:rPr>
                <w:b/>
                <w:i w:val="0"/>
                <w:sz w:val="22"/>
              </w:rPr>
              <w:t>Risk to people and pets</w:t>
            </w:r>
          </w:p>
        </w:tc>
        <w:tc>
          <w:tcPr>
            <w:tcW w:type="dxa" w:w="5083"/>
            <w:vAlign w:val="center"/>
            <w:shd w:fill="FFFFFF"/>
          </w:tcPr>
          <w:p>
            <w:pPr>
              <w:spacing w:after="60"/>
            </w:pPr>
            <w:r>
              <w:rPr>
                <w:b w:val="0"/>
                <w:i w:val="0"/>
                <w:sz w:val="22"/>
              </w:rPr>
              <w:t>Does not sting, bite, or damage buildings; pesticides can present hazards if misused</w:t>
            </w:r>
          </w:p>
        </w:tc>
      </w:tr>
      <w:tr>
        <w:trPr>
          <w:cantSplit/>
        </w:trPr>
        <w:tc>
          <w:tcPr>
            <w:tcW w:type="dxa" w:w="5083"/>
            <w:vAlign w:val="center"/>
            <w:shd w:fill="FFFFFF"/>
          </w:tcPr>
          <w:p>
            <w:pPr>
              <w:spacing w:after="60"/>
            </w:pPr>
            <w:r>
              <w:rPr>
                <w:b/>
                <w:i w:val="0"/>
                <w:sz w:val="22"/>
              </w:rPr>
              <w:t>Edibility</w:t>
            </w:r>
          </w:p>
        </w:tc>
        <w:tc>
          <w:tcPr>
            <w:tcW w:type="dxa" w:w="5083"/>
            <w:vAlign w:val="center"/>
            <w:shd w:fill="FFFFFF"/>
          </w:tcPr>
          <w:p>
            <w:pPr>
              <w:spacing w:after="60"/>
            </w:pPr>
            <w:r>
              <w:rPr>
                <w:b w:val="0"/>
                <w:i w:val="0"/>
                <w:sz w:val="22"/>
              </w:rPr>
              <w:t>Not a food recommendation; do not eat beetles exposed to pesticides</w:t>
            </w:r>
          </w:p>
        </w:tc>
      </w:tr>
    </w:tbl>
    <w:p>
      <w:pPr>
        <w:spacing w:after="20"/>
      </w:pPr>
    </w:p>
    <w:p>
      <w:pPr>
        <w:pStyle w:val="Heading2"/>
      </w:pPr>
      <w:r>
        <w:t>How to Identify It</w:t>
      </w:r>
    </w:p>
    <w:p>
      <w:pPr>
        <w:pStyle w:val="ListBullet"/>
      </w:pPr>
      <w:r>
        <w:rPr>
          <w:b/>
          <w:i w:val="0"/>
        </w:rPr>
        <w:t xml:space="preserve">Adult: </w:t>
      </w:r>
      <w:r>
        <w:t>Metallic green head and thorax, copper-bronze wing covers, and conspicuous white hair tufts along the abdomen. The white tufts are the best field mark.</w:t>
      </w:r>
    </w:p>
    <w:p>
      <w:pPr>
        <w:pStyle w:val="ListBullet"/>
      </w:pPr>
      <w:r>
        <w:rPr>
          <w:b/>
          <w:i w:val="0"/>
        </w:rPr>
        <w:t xml:space="preserve">Grub: </w:t>
      </w:r>
      <w:r>
        <w:t>Creamy white, C-shaped, with a tan-brown head; mature grubs approach 1 inch. Correct species identification requires examining the raster pattern beneath the abdomen.</w:t>
      </w:r>
    </w:p>
    <w:p>
      <w:pPr>
        <w:pStyle w:val="ListBullet"/>
      </w:pPr>
      <w:r>
        <w:rPr>
          <w:b/>
          <w:i w:val="0"/>
        </w:rPr>
        <w:t xml:space="preserve">Feeding sign: </w:t>
      </w:r>
      <w:r>
        <w:t>Leaves are eaten between the veins, leaving a lace-like skeleton. Beetles often feed in groups on sunny, upper foliage.</w:t>
      </w:r>
    </w:p>
    <w:p>
      <w:pPr>
        <w:pStyle w:val="Heading2"/>
      </w:pPr>
      <w:r>
        <w:t>Life Cycle and Seasonal Timing</w:t>
      </w:r>
    </w:p>
    <w:p>
      <w:r>
        <w:rPr>
          <w:b w:val="0"/>
          <w:i w:val="0"/>
        </w:rPr>
        <w:t>There is one generation each year. Adults emerge in early summer, feed and mate for roughly four to six weeks, and females repeatedly enter soil to lay eggs. Eggs hatch in midsummer. Young grubs feed near the surface on turf roots; they move deeper as soil cools, overwinter 4 to 8 inches below the surface, return upward in spring, then pupate before adults emerge.</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Season</w:t>
            </w:r>
          </w:p>
        </w:tc>
        <w:tc>
          <w:tcPr>
            <w:tcW w:type="dxa" w:w="3389"/>
            <w:vAlign w:val="center"/>
            <w:shd w:fill="E9EDF0"/>
          </w:tcPr>
          <w:p>
            <w:pPr>
              <w:spacing w:after="60"/>
            </w:pPr>
            <w:r>
              <w:rPr>
                <w:b/>
                <w:i w:val="0"/>
                <w:sz w:val="22"/>
              </w:rPr>
              <w:t>Main stage</w:t>
            </w:r>
          </w:p>
        </w:tc>
        <w:tc>
          <w:tcPr>
            <w:tcW w:type="dxa" w:w="3389"/>
            <w:vAlign w:val="center"/>
            <w:shd w:fill="E9EDF0"/>
          </w:tcPr>
          <w:p>
            <w:pPr>
              <w:spacing w:after="60"/>
            </w:pPr>
            <w:r>
              <w:rPr>
                <w:b/>
                <w:i w:val="0"/>
                <w:sz w:val="22"/>
              </w:rPr>
              <w:t>What to watch for</w:t>
            </w:r>
          </w:p>
        </w:tc>
      </w:tr>
      <w:tr>
        <w:trPr>
          <w:cantSplit/>
        </w:trPr>
        <w:tc>
          <w:tcPr>
            <w:tcW w:type="dxa" w:w="3389"/>
            <w:vAlign w:val="center"/>
            <w:shd w:fill="FFFFFF"/>
          </w:tcPr>
          <w:p>
            <w:pPr>
              <w:spacing w:after="60"/>
            </w:pPr>
            <w:r>
              <w:rPr>
                <w:b/>
                <w:i w:val="0"/>
                <w:sz w:val="22"/>
              </w:rPr>
              <w:t>Late spring</w:t>
            </w:r>
          </w:p>
        </w:tc>
        <w:tc>
          <w:tcPr>
            <w:tcW w:type="dxa" w:w="3389"/>
            <w:vAlign w:val="center"/>
            <w:shd w:fill="FFFFFF"/>
          </w:tcPr>
          <w:p>
            <w:pPr>
              <w:spacing w:after="60"/>
            </w:pPr>
            <w:r>
              <w:rPr>
                <w:b w:val="0"/>
                <w:i w:val="0"/>
                <w:sz w:val="22"/>
              </w:rPr>
              <w:t>Older grub and pupa</w:t>
            </w:r>
          </w:p>
        </w:tc>
        <w:tc>
          <w:tcPr>
            <w:tcW w:type="dxa" w:w="3389"/>
            <w:vAlign w:val="center"/>
            <w:shd w:fill="FFFFFF"/>
          </w:tcPr>
          <w:p>
            <w:pPr>
              <w:spacing w:after="60"/>
            </w:pPr>
            <w:r>
              <w:rPr>
                <w:b w:val="0"/>
                <w:i w:val="0"/>
                <w:sz w:val="22"/>
              </w:rPr>
              <w:t>Root feeding resumes; adults form underground.</w:t>
            </w:r>
          </w:p>
        </w:tc>
      </w:tr>
      <w:tr>
        <w:trPr>
          <w:cantSplit/>
        </w:trPr>
        <w:tc>
          <w:tcPr>
            <w:tcW w:type="dxa" w:w="3389"/>
            <w:vAlign w:val="center"/>
            <w:shd w:fill="FFFFFF"/>
          </w:tcPr>
          <w:p>
            <w:pPr>
              <w:spacing w:after="60"/>
            </w:pPr>
            <w:r>
              <w:rPr>
                <w:b/>
                <w:i w:val="0"/>
                <w:sz w:val="22"/>
              </w:rPr>
              <w:t>Mid-June through August</w:t>
            </w:r>
          </w:p>
        </w:tc>
        <w:tc>
          <w:tcPr>
            <w:tcW w:type="dxa" w:w="3389"/>
            <w:vAlign w:val="center"/>
            <w:shd w:fill="FFFFFF"/>
          </w:tcPr>
          <w:p>
            <w:pPr>
              <w:spacing w:after="60"/>
            </w:pPr>
            <w:r>
              <w:rPr>
                <w:b w:val="0"/>
                <w:i w:val="0"/>
                <w:sz w:val="22"/>
              </w:rPr>
              <w:t>Adult and egg</w:t>
            </w:r>
          </w:p>
        </w:tc>
        <w:tc>
          <w:tcPr>
            <w:tcW w:type="dxa" w:w="3389"/>
            <w:vAlign w:val="center"/>
            <w:shd w:fill="FFFFFF"/>
          </w:tcPr>
          <w:p>
            <w:pPr>
              <w:spacing w:after="60"/>
            </w:pPr>
            <w:r>
              <w:rPr>
                <w:b w:val="0"/>
                <w:i w:val="0"/>
                <w:sz w:val="22"/>
              </w:rPr>
              <w:t>Adults feed on foliage and flowers; eggs are laid in moist turf.</w:t>
            </w:r>
          </w:p>
        </w:tc>
      </w:tr>
      <w:tr>
        <w:trPr>
          <w:cantSplit/>
        </w:trPr>
        <w:tc>
          <w:tcPr>
            <w:tcW w:type="dxa" w:w="3389"/>
            <w:vAlign w:val="center"/>
            <w:shd w:fill="FFFFFF"/>
          </w:tcPr>
          <w:p>
            <w:pPr>
              <w:spacing w:after="60"/>
            </w:pPr>
            <w:r>
              <w:rPr>
                <w:b/>
                <w:i w:val="0"/>
                <w:sz w:val="22"/>
              </w:rPr>
              <w:t>Mid- to late summer</w:t>
            </w:r>
          </w:p>
        </w:tc>
        <w:tc>
          <w:tcPr>
            <w:tcW w:type="dxa" w:w="3389"/>
            <w:vAlign w:val="center"/>
            <w:shd w:fill="FFFFFF"/>
          </w:tcPr>
          <w:p>
            <w:pPr>
              <w:spacing w:after="60"/>
            </w:pPr>
            <w:r>
              <w:rPr>
                <w:b w:val="0"/>
                <w:i w:val="0"/>
                <w:sz w:val="22"/>
              </w:rPr>
              <w:t>Young grub</w:t>
            </w:r>
          </w:p>
        </w:tc>
        <w:tc>
          <w:tcPr>
            <w:tcW w:type="dxa" w:w="3389"/>
            <w:vAlign w:val="center"/>
            <w:shd w:fill="FFFFFF"/>
          </w:tcPr>
          <w:p>
            <w:pPr>
              <w:spacing w:after="60"/>
            </w:pPr>
            <w:r>
              <w:rPr>
                <w:b w:val="0"/>
                <w:i w:val="0"/>
                <w:sz w:val="22"/>
              </w:rPr>
              <w:t>Grubs feed on turf roots; brown patches may appear.</w:t>
            </w:r>
          </w:p>
        </w:tc>
      </w:tr>
      <w:tr>
        <w:trPr>
          <w:cantSplit/>
        </w:trPr>
        <w:tc>
          <w:tcPr>
            <w:tcW w:type="dxa" w:w="3389"/>
            <w:vAlign w:val="center"/>
            <w:shd w:fill="FFFFFF"/>
          </w:tcPr>
          <w:p>
            <w:pPr>
              <w:spacing w:after="60"/>
            </w:pPr>
            <w:r>
              <w:rPr>
                <w:b/>
                <w:i w:val="0"/>
                <w:sz w:val="22"/>
              </w:rPr>
              <w:t>Late fall and winter</w:t>
            </w:r>
          </w:p>
        </w:tc>
        <w:tc>
          <w:tcPr>
            <w:tcW w:type="dxa" w:w="3389"/>
            <w:vAlign w:val="center"/>
            <w:shd w:fill="FFFFFF"/>
          </w:tcPr>
          <w:p>
            <w:pPr>
              <w:spacing w:after="60"/>
            </w:pPr>
            <w:r>
              <w:rPr>
                <w:b w:val="0"/>
                <w:i w:val="0"/>
                <w:sz w:val="22"/>
              </w:rPr>
              <w:t>Overwintering grub</w:t>
            </w:r>
          </w:p>
        </w:tc>
        <w:tc>
          <w:tcPr>
            <w:tcW w:type="dxa" w:w="3389"/>
            <w:vAlign w:val="center"/>
            <w:shd w:fill="FFFFFF"/>
          </w:tcPr>
          <w:p>
            <w:pPr>
              <w:spacing w:after="60"/>
            </w:pPr>
            <w:r>
              <w:rPr>
                <w:b w:val="0"/>
                <w:i w:val="0"/>
                <w:sz w:val="22"/>
              </w:rPr>
              <w:t>Grubs move deeper and become inactive.</w:t>
            </w:r>
          </w:p>
        </w:tc>
      </w:tr>
    </w:tbl>
    <w:p>
      <w:pPr>
        <w:spacing w:after="20"/>
      </w:pPr>
    </w:p>
    <w:p>
      <w:pPr>
        <w:pStyle w:val="Heading2"/>
      </w:pPr>
      <w:r>
        <w:t>Damage</w:t>
      </w:r>
    </w:p>
    <w:p>
      <w:pPr>
        <w:pStyle w:val="Heading2"/>
      </w:pPr>
      <w:r>
        <w:t>Adults on Plants</w:t>
      </w:r>
    </w:p>
    <w:p>
      <w:pPr>
        <w:pStyle w:val="ListBullet"/>
      </w:pPr>
      <w:r>
        <w:rPr>
          <w:b w:val="0"/>
          <w:i w:val="0"/>
        </w:rPr>
        <w:t>Adults feed on hundreds of plant species. Common targets include roses, grapes, apples and crabapples, cherries and plums, linden, sassafras, hollyhock, corn silks, and overripe fruit.</w:t>
      </w:r>
    </w:p>
    <w:p>
      <w:pPr>
        <w:pStyle w:val="ListBullet"/>
      </w:pPr>
      <w:r>
        <w:rPr>
          <w:b w:val="0"/>
          <w:i w:val="0"/>
        </w:rPr>
        <w:t>Established deciduous trees usually tolerate some defoliation, but repeated heavy feeding can weaken young or stressed plants and ruin flowers or fruit.</w:t>
      </w:r>
    </w:p>
    <w:p>
      <w:pPr>
        <w:pStyle w:val="ListBullet"/>
      </w:pPr>
      <w:r>
        <w:rPr>
          <w:b w:val="0"/>
          <w:i w:val="0"/>
        </w:rPr>
        <w:t>Feeding beetles release odors that attract more beetles, so early removal can slow aggregation.</w:t>
      </w:r>
    </w:p>
    <w:p>
      <w:pPr>
        <w:pStyle w:val="Heading2"/>
      </w:pPr>
      <w:r>
        <w:t>Grubs in Lawns</w:t>
      </w:r>
    </w:p>
    <w:p>
      <w:pPr>
        <w:pStyle w:val="ListBullet"/>
      </w:pPr>
      <w:r>
        <w:rPr>
          <w:b w:val="0"/>
          <w:i w:val="0"/>
        </w:rPr>
        <w:t>Grubs prune grass roots. Infested turf wilts, browns, and may lift like loose carpet.</w:t>
      </w:r>
    </w:p>
    <w:p>
      <w:pPr>
        <w:pStyle w:val="ListBullet"/>
      </w:pPr>
      <w:r>
        <w:rPr>
          <w:b w:val="0"/>
          <w:i w:val="0"/>
        </w:rPr>
        <w:t>Skunks, raccoons, birds, and other animals may tear turf while searching for grubs.</w:t>
      </w:r>
    </w:p>
    <w:p>
      <w:pPr>
        <w:pStyle w:val="ListBullet"/>
      </w:pPr>
      <w:r>
        <w:rPr>
          <w:b w:val="0"/>
          <w:i w:val="0"/>
        </w:rPr>
        <w:t>Drought stress can make grub injury worse. Similar symptoms can have other causes, so inspect the root zone before treating.</w:t>
      </w:r>
    </w:p>
    <w:p>
      <w:pPr>
        <w:pStyle w:val="Heading2"/>
      </w:pPr>
      <w:r>
        <w:t>Integrated Management</w:t>
      </w:r>
    </w:p>
    <w:p>
      <w:pPr>
        <w:pStyle w:val="Heading2"/>
      </w:pPr>
      <w:r>
        <w:t>Start With the Least Disruptive Methods</w:t>
      </w:r>
    </w:p>
    <w:p>
      <w:pPr>
        <w:pStyle w:val="ListBullet"/>
      </w:pPr>
      <w:r>
        <w:rPr>
          <w:b/>
          <w:i w:val="0"/>
        </w:rPr>
        <w:t xml:space="preserve">Inspect often. </w:t>
      </w:r>
      <w:r>
        <w:t>From mid-June onward, check favored plants every morning. Act before beetles assemble in large groups.</w:t>
      </w:r>
    </w:p>
    <w:p>
      <w:pPr>
        <w:pStyle w:val="ListBullet"/>
      </w:pPr>
      <w:r>
        <w:rPr>
          <w:b/>
          <w:i w:val="0"/>
        </w:rPr>
        <w:t xml:space="preserve">Hand-remove adults. </w:t>
      </w:r>
      <w:r>
        <w:t>Hold a container of water with a small amount of dish soap beneath the insects and tap or brush them into it. Early morning is easiest because beetles are sluggish.</w:t>
      </w:r>
    </w:p>
    <w:p>
      <w:pPr>
        <w:pStyle w:val="ListBullet"/>
      </w:pPr>
      <w:r>
        <w:rPr>
          <w:b/>
          <w:i w:val="0"/>
        </w:rPr>
        <w:t xml:space="preserve">Protect small plants. </w:t>
      </w:r>
      <w:r>
        <w:t>Fine insect netting can exclude adults when plants are not flowering. Remove or open it when pollinators need access.</w:t>
      </w:r>
    </w:p>
    <w:p>
      <w:pPr>
        <w:pStyle w:val="ListBullet"/>
      </w:pPr>
      <w:r>
        <w:rPr>
          <w:b/>
          <w:i w:val="0"/>
        </w:rPr>
        <w:t xml:space="preserve">Choose less-preferred plants. </w:t>
      </w:r>
      <w:r>
        <w:t>Red maple, boxwood, dogwood, magnolia, many oaks, lilac, holly, and most evergreen ornamentals generally receive less feeding.</w:t>
      </w:r>
    </w:p>
    <w:p>
      <w:pPr>
        <w:pStyle w:val="ListBullet"/>
      </w:pPr>
      <w:r>
        <w:rPr>
          <w:b/>
          <w:i w:val="0"/>
        </w:rPr>
        <w:t xml:space="preserve">Keep plants resilient. </w:t>
      </w:r>
      <w:r>
        <w:t>Water appropriately, mulch, and avoid unnecessary stress. Do not overfertilize damaged plants.</w:t>
      </w:r>
    </w:p>
    <w:p>
      <w:pPr>
        <w:pStyle w:val="Heading2"/>
      </w:pPr>
      <w:r>
        <w:t>Use Traps Carefully</w:t>
      </w:r>
    </w:p>
    <w:p>
      <w:r>
        <w:rPr>
          <w:b/>
          <w:i w:val="0"/>
        </w:rPr>
        <w:t xml:space="preserve">Do not place Japanese beetle traps near plants you want to protect. </w:t>
      </w:r>
      <w:r>
        <w:t>The floral lure and sex pheromone can draw more beetles into the area than the trap captures. If used for monitoring, place the trap well away from susceptible plants and understand that it may worsen local injury.</w:t>
      </w:r>
    </w:p>
    <w:p>
      <w:pPr>
        <w:pStyle w:val="Heading2"/>
      </w:pPr>
      <w:r>
        <w:t>Treat Turf Only When Evidence Supports It</w:t>
      </w:r>
    </w:p>
    <w:p>
      <w:pPr>
        <w:pStyle w:val="ListBullet"/>
      </w:pPr>
      <w:r>
        <w:rPr>
          <w:b w:val="0"/>
          <w:i w:val="0"/>
        </w:rPr>
        <w:t>Cut and fold back several small turf sections at the edge of damaged areas. Count C-shaped grubs in the root zone and identify them before deciding on treatment.</w:t>
      </w:r>
    </w:p>
    <w:p>
      <w:pPr>
        <w:pStyle w:val="ListBullet"/>
      </w:pPr>
      <w:r>
        <w:rPr>
          <w:b w:val="0"/>
          <w:i w:val="0"/>
        </w:rPr>
        <w:t>Purdue guidance states that insecticide treatment is generally unnecessary at five or fewer grubs per square foot, although site history and turf condition matter.</w:t>
      </w:r>
    </w:p>
    <w:p>
      <w:pPr>
        <w:pStyle w:val="ListBullet"/>
      </w:pPr>
      <w:r>
        <w:rPr>
          <w:b w:val="0"/>
          <w:i w:val="0"/>
        </w:rPr>
        <w:t>Healthy, properly mowed turf can tolerate or recover from moderate feeding. Water deeply when needed and maintain a suitable mowing height.</w:t>
      </w:r>
    </w:p>
    <w:p>
      <w:pPr>
        <w:pStyle w:val="ListBullet"/>
      </w:pPr>
      <w:r>
        <w:rPr>
          <w:b w:val="0"/>
          <w:i w:val="0"/>
        </w:rPr>
        <w:t>Beneficial nematodes may suppress grubs when the correct species is fresh, alive, applied at the proper time, protected from ultraviolet light, and watered into the soil. Results vary.</w:t>
      </w:r>
    </w:p>
    <w:p>
      <w:pPr>
        <w:pStyle w:val="Heading2"/>
      </w:pPr>
      <w:r>
        <w:t>Pesticide Cautions</w:t>
      </w:r>
    </w:p>
    <w:p>
      <w:r>
        <w:rPr>
          <w:b/>
          <w:i w:val="0"/>
        </w:rPr>
        <w:t xml:space="preserve">The label is the law. </w:t>
      </w:r>
      <w:r>
        <w:t>Use only a product labeled for the target pest, plant or turf site, and application timing. Follow rates, protective-equipment directions, reentry intervals, harvest restrictions, and disposal instructions exactly.</w:t>
      </w:r>
    </w:p>
    <w:p>
      <w:pPr>
        <w:pStyle w:val="ListBullet"/>
      </w:pPr>
      <w:r>
        <w:rPr>
          <w:b w:val="0"/>
          <w:i w:val="0"/>
        </w:rPr>
        <w:t>Avoid spraying open flowers or plants visited by bees. Some broad-spectrum insecticides can kill pollinators and beneficial insects.</w:t>
      </w:r>
    </w:p>
    <w:p>
      <w:pPr>
        <w:pStyle w:val="ListBullet"/>
      </w:pPr>
      <w:r>
        <w:rPr>
          <w:b w:val="0"/>
          <w:i w:val="0"/>
        </w:rPr>
        <w:t>For edible plants, the crop must appear on the label and the preharvest interval must be followed.</w:t>
      </w:r>
    </w:p>
    <w:p>
      <w:pPr>
        <w:pStyle w:val="ListBullet"/>
      </w:pPr>
      <w:r>
        <w:rPr>
          <w:b w:val="0"/>
          <w:i w:val="0"/>
        </w:rPr>
        <w:t>Do not treat an entire lawn merely because adults are feeding nearby; adults can fly one to two miles, so local grub treatment may not reduce beetles on garden plants.</w:t>
      </w:r>
    </w:p>
    <w:p>
      <w:pPr>
        <w:pStyle w:val="ListBullet"/>
      </w:pPr>
      <w:r>
        <w:rPr>
          <w:b w:val="0"/>
          <w:i w:val="0"/>
        </w:rPr>
        <w:t>Ask Purdue Extension or a licensed professional for current, Indiana-specific active ingredients and timing. Product registrations and labels change.</w:t>
      </w:r>
    </w:p>
    <w:p>
      <w:pPr>
        <w:pStyle w:val="Heading2"/>
      </w:pPr>
      <w:r>
        <w:t>Photo Identification Guide</w:t>
      </w:r>
    </w:p>
    <w:p>
      <w:pPr>
        <w:pStyle w:val="Heading2"/>
      </w:pPr>
      <w:r>
        <w:t>What Not to Confuse It With</w:t>
      </w:r>
    </w:p>
    <w:p>
      <w:pPr>
        <w:pStyle w:val="ListBullet"/>
      </w:pPr>
      <w:r>
        <w:rPr>
          <w:b/>
          <w:i w:val="0"/>
        </w:rPr>
        <w:t xml:space="preserve">Green June beetle: </w:t>
      </w:r>
      <w:r>
        <w:t>Much larger, usually about 3/4 to 1 inch, with green wing covers and without the Japanese beetle’s row of white abdominal tufts.</w:t>
      </w:r>
    </w:p>
    <w:p>
      <w:pPr>
        <w:pStyle w:val="ListBullet"/>
      </w:pPr>
      <w:r>
        <w:rPr>
          <w:b/>
          <w:i w:val="0"/>
        </w:rPr>
        <w:t xml:space="preserve">Rose chafer: </w:t>
      </w:r>
      <w:r>
        <w:t>Tan to pale greenish beetle with long legs; lacks metallic green-and-copper coloration and the distinctive white tufts.</w:t>
      </w:r>
    </w:p>
    <w:p>
      <w:pPr>
        <w:pStyle w:val="ListBullet"/>
      </w:pPr>
      <w:r>
        <w:rPr>
          <w:b/>
          <w:i w:val="0"/>
        </w:rPr>
        <w:t xml:space="preserve">Other white grubs: </w:t>
      </w:r>
      <w:r>
        <w:t>Several scarab beetles have similar C-shaped larvae. Use the raster pattern or obtain expert identification before choosing a species-specific treatment.</w:t>
      </w:r>
    </w:p>
    <w:p>
      <w:pPr>
        <w:pStyle w:val="Heading2"/>
      </w:pPr>
      <w:r>
        <w:t>Quick Action Checklist</w:t>
      </w:r>
    </w:p>
    <w:p>
      <w:r>
        <w:rPr>
          <w:b w:val="0"/>
          <w:i w:val="0"/>
        </w:rPr>
        <w:t>☐  Confirm the metallic green body, copper wing covers, and white abdominal tufts.</w:t>
      </w:r>
    </w:p>
    <w:p>
      <w:r>
        <w:rPr>
          <w:b w:val="0"/>
          <w:i w:val="0"/>
        </w:rPr>
        <w:t>☐  Inspect high-value plants in the morning and hand-remove beetles.</w:t>
      </w:r>
    </w:p>
    <w:p>
      <w:r>
        <w:rPr>
          <w:b w:val="0"/>
          <w:i w:val="0"/>
        </w:rPr>
        <w:t>☐  Keep traps away from susceptible plants; do not rely on traps for control.</w:t>
      </w:r>
    </w:p>
    <w:p>
      <w:r>
        <w:rPr>
          <w:b w:val="0"/>
          <w:i w:val="0"/>
        </w:rPr>
        <w:t>☐  Check turf for actual grub numbers before treating.</w:t>
      </w:r>
    </w:p>
    <w:p>
      <w:r>
        <w:rPr>
          <w:b w:val="0"/>
          <w:i w:val="0"/>
        </w:rPr>
        <w:t>☐  Protect pollinators and edible crops. Follow every pesticide-label direction.</w:t>
      </w:r>
    </w:p>
    <w:p>
      <w:r>
        <w:rPr>
          <w:b w:val="0"/>
          <w:i w:val="0"/>
        </w:rPr>
        <w:t>☐  Record the date, plant, damage level, and action taken for next year’s planning.</w:t>
      </w:r>
    </w:p>
    <w:p>
      <w:pPr>
        <w:pStyle w:val="Heading2"/>
      </w:pPr>
      <w:r>
        <w:t>Sources and Further Help</w:t>
      </w:r>
    </w:p>
    <w:p>
      <w:r>
        <w:rPr>
          <w:b/>
          <w:i w:val="0"/>
        </w:rPr>
        <w:t xml:space="preserve">Purdue Extension Entomology. </w:t>
      </w:r>
      <w:r>
        <w:t xml:space="preserve">Japanese Beetles in the Urban Landscape. </w:t>
      </w:r>
      <w:hyperlink r:id="rId12">
        <w:r>
          <w:rPr>
            <w:color w:val="245B43"/>
            <w:u w:val="single"/>
          </w:rPr>
          <w:t>extension.entm.purdue.edu/publications/E-75/E-75.html</w:t>
        </w:r>
      </w:hyperlink>
    </w:p>
    <w:p>
      <w:r>
        <w:rPr>
          <w:b/>
          <w:i w:val="0"/>
        </w:rPr>
        <w:t xml:space="preserve">USDA APHIS. </w:t>
      </w:r>
      <w:r>
        <w:t xml:space="preserve">Japanese Beetle. Updated September 26, 2025. </w:t>
      </w:r>
      <w:hyperlink r:id="rId13">
        <w:r>
          <w:rPr>
            <w:color w:val="245B43"/>
            <w:u w:val="single"/>
          </w:rPr>
          <w:t>aphis.usda.gov/plant-pests-diseases/japanese-beetle</w:t>
        </w:r>
      </w:hyperlink>
    </w:p>
    <w:p>
      <w:r>
        <w:rPr>
          <w:b/>
          <w:i w:val="0"/>
        </w:rPr>
        <w:t xml:space="preserve">University of Minnesota Extension. </w:t>
      </w:r>
      <w:r>
        <w:t xml:space="preserve">Japanese Beetles in Yards and Gardens. </w:t>
      </w:r>
      <w:hyperlink r:id="rId14">
        <w:r>
          <w:rPr>
            <w:color w:val="245B43"/>
            <w:u w:val="single"/>
          </w:rPr>
          <w:t>extension.umn.edu</w:t>
        </w:r>
      </w:hyperlink>
    </w:p>
    <w:p>
      <w:r>
        <w:rPr>
          <w:b/>
          <w:i w:val="0"/>
        </w:rPr>
        <w:t xml:space="preserve">Local help. </w:t>
      </w:r>
      <w:r>
        <w:t>Purdue Extension Tippecanoe County can help confirm identification and current Indiana recommendations.</w:t>
      </w:r>
    </w:p>
    <w:p>
      <w:r>
        <w:rPr>
          <w:b w:val="0"/>
          <w:i w:val="0"/>
        </w:rPr>
        <w:t xml:space="preserve">Added September 22, 2026 · </w:t>
      </w:r>
      <w:hyperlink r:id="rId15">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6">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animals/japanese-beetle/" TargetMode="External"/><Relationship Id="rId12" Type="http://schemas.openxmlformats.org/officeDocument/2006/relationships/hyperlink" Target="https://extension.entm.purdue.edu/publications/E-75/E-75.html" TargetMode="External"/><Relationship Id="rId13" Type="http://schemas.openxmlformats.org/officeDocument/2006/relationships/hyperlink" Target="https://www.aphis.usda.gov/plant-pests-diseases/japanese-beetle" TargetMode="External"/><Relationship Id="rId14" Type="http://schemas.openxmlformats.org/officeDocument/2006/relationships/hyperlink" Target="https://extension.umn.edu/garden-and-home/yard-and-garden/yard-and-garden-insects/japanese-beetles" TargetMode="External"/><Relationship Id="rId15" Type="http://schemas.openxmlformats.org/officeDocument/2006/relationships/hyperlink" Target="https://planteducationproject.com/information-sheets/master-index/" TargetMode="External"/><Relationship Id="rId16"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animals japanese beetle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