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Black Carpenter Ant</w:t>
      </w:r>
    </w:p>
    <w:p>
      <w:pPr>
        <w:spacing w:after="320"/>
      </w:pPr>
      <w:r>
        <w:t>Combined Information Sheets</w:t>
      </w:r>
    </w:p>
    <w:p>
      <w:pPr>
        <w:pStyle w:val="Heading1"/>
      </w:pPr>
      <w:r>
        <w:t>Black Carpenter Ant</w:t>
      </w:r>
    </w:p>
    <w:p>
      <w:r>
        <w:rPr>
          <w:b/>
        </w:rPr>
        <w:t xml:space="preserve">Online Information Sheet: </w:t>
      </w:r>
      <w:hyperlink r:id="rId11">
        <w:r>
          <w:rPr>
            <w:color w:val="245B43"/>
            <w:u w:val="single"/>
          </w:rPr>
          <w:t>planteducationproject.com/animals/black-carpenter-ant/</w:t>
        </w:r>
      </w:hyperlink>
    </w:p>
    <w:p>
      <w:r>
        <w:rPr>
          <w:b w:val="0"/>
          <w:i w:val="0"/>
        </w:rPr>
        <w:t>🌿 Animal Information Sheet</w:t>
      </w:r>
    </w:p>
    <w:p>
      <w:r>
        <w:rPr>
          <w:b w:val="0"/>
          <w:i/>
        </w:rPr>
        <w:t>Camponotus pennsylvanicus</w:t>
      </w:r>
    </w:p>
    <w:p>
      <w:r>
        <w:rPr>
          <w:b w:val="0"/>
          <w:i w:val="0"/>
        </w:rPr>
        <w:t>A large native ant that excavates wood for shelter. It eats other foods, not wood. Around a house, finding the nest and correcting moisture matter more than killing a few roaming workers.</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Scientific name</w:t>
            </w:r>
          </w:p>
        </w:tc>
        <w:tc>
          <w:tcPr>
            <w:tcW w:type="dxa" w:w="5083"/>
            <w:vAlign w:val="center"/>
            <w:shd w:fill="FFFFFF"/>
          </w:tcPr>
          <w:p>
            <w:pPr>
              <w:spacing w:after="60"/>
            </w:pPr>
            <w:r>
              <w:rPr>
                <w:b w:val="0"/>
                <w:i w:val="0"/>
                <w:sz w:val="22"/>
              </w:rPr>
              <w:t>Camponotus pennsylvanicus</w:t>
            </w:r>
          </w:p>
        </w:tc>
      </w:tr>
      <w:tr>
        <w:trPr>
          <w:cantSplit/>
        </w:trPr>
        <w:tc>
          <w:tcPr>
            <w:tcW w:type="dxa" w:w="5083"/>
            <w:vAlign w:val="center"/>
            <w:shd w:fill="FFFFFF"/>
          </w:tcPr>
          <w:p>
            <w:pPr>
              <w:spacing w:after="60"/>
            </w:pPr>
            <w:r>
              <w:rPr>
                <w:b/>
                <w:i w:val="0"/>
                <w:sz w:val="22"/>
              </w:rPr>
              <w:t>Worker length</w:t>
            </w:r>
          </w:p>
        </w:tc>
        <w:tc>
          <w:tcPr>
            <w:tcW w:type="dxa" w:w="5083"/>
            <w:vAlign w:val="center"/>
            <w:shd w:fill="FFFFFF"/>
          </w:tcPr>
          <w:p>
            <w:pPr>
              <w:spacing w:after="60"/>
            </w:pPr>
            <w:r>
              <w:rPr>
                <w:b w:val="0"/>
                <w:i w:val="0"/>
                <w:sz w:val="22"/>
              </w:rPr>
              <w:t>Workers commonly about 6 to 13 mm</w:t>
            </w:r>
          </w:p>
        </w:tc>
      </w:tr>
      <w:tr>
        <w:trPr>
          <w:cantSplit/>
        </w:trPr>
        <w:tc>
          <w:tcPr>
            <w:tcW w:type="dxa" w:w="5083"/>
            <w:vAlign w:val="center"/>
            <w:shd w:fill="FFFFFF"/>
          </w:tcPr>
          <w:p>
            <w:pPr>
              <w:spacing w:after="60"/>
            </w:pPr>
            <w:r>
              <w:rPr>
                <w:b/>
                <w:i w:val="0"/>
                <w:sz w:val="22"/>
              </w:rPr>
              <w:t>Native status</w:t>
            </w:r>
          </w:p>
        </w:tc>
        <w:tc>
          <w:tcPr>
            <w:tcW w:type="dxa" w:w="5083"/>
            <w:vAlign w:val="center"/>
            <w:shd w:fill="FFFFFF"/>
          </w:tcPr>
          <w:p>
            <w:pPr>
              <w:spacing w:after="60"/>
            </w:pPr>
            <w:r>
              <w:rPr>
                <w:b w:val="0"/>
                <w:i w:val="0"/>
                <w:sz w:val="22"/>
              </w:rPr>
              <w:t>Native to eastern and central North America</w:t>
            </w:r>
          </w:p>
        </w:tc>
      </w:tr>
      <w:tr>
        <w:trPr>
          <w:cantSplit/>
        </w:trPr>
        <w:tc>
          <w:tcPr>
            <w:tcW w:type="dxa" w:w="5083"/>
            <w:vAlign w:val="center"/>
            <w:shd w:fill="FFFFFF"/>
          </w:tcPr>
          <w:p>
            <w:pPr>
              <w:spacing w:after="60"/>
            </w:pPr>
            <w:r>
              <w:rPr>
                <w:b/>
                <w:i w:val="0"/>
                <w:sz w:val="22"/>
              </w:rPr>
              <w:t>Practical significance</w:t>
            </w:r>
          </w:p>
        </w:tc>
        <w:tc>
          <w:tcPr>
            <w:tcW w:type="dxa" w:w="5083"/>
            <w:vAlign w:val="center"/>
            <w:shd w:fill="FFFFFF"/>
          </w:tcPr>
          <w:p>
            <w:pPr>
              <w:spacing w:after="60"/>
            </w:pPr>
            <w:r>
              <w:rPr>
                <w:b w:val="0"/>
                <w:i w:val="0"/>
                <w:sz w:val="22"/>
              </w:rPr>
              <w:t>Native woodland ant; established nests can damage building wood</w:t>
            </w:r>
          </w:p>
        </w:tc>
      </w:tr>
    </w:tbl>
    <w:p>
      <w:pPr>
        <w:spacing w:after="20"/>
      </w:pPr>
    </w:p>
    <w:p>
      <w:pPr>
        <w:pStyle w:val="Heading2"/>
      </w:pPr>
      <w:r>
        <w:t>Identification</w:t>
      </w:r>
    </w:p>
    <w:p>
      <w:r>
        <w:rPr>
          <w:b w:val="0"/>
          <w:i w:val="0"/>
        </w:rPr>
        <w:t>Workers are black and vary considerably in size within one colony. The upper outline of the middle body is smoothly rounded when seen from the side, and the waist has one node. Coarse wood fragments near an opening can indicate excavation but do not establish the species by themselves. [ID]</w:t>
      </w:r>
    </w:p>
    <w:p>
      <w:r>
        <w:rPr>
          <w:b w:val="0"/>
          <w:i w:val="0"/>
        </w:rPr>
        <w:t>Field ants can be similar in size and color but usually have a less evenly arched middle body. Termites have a broad waist and straight, beaded antennae; winged termites have two similarly sized wing pairs.</w:t>
      </w:r>
    </w:p>
    <w:p>
      <w:pPr>
        <w:pStyle w:val="Heading2"/>
      </w:pPr>
      <w:r>
        <w:t>Food and foraging</w:t>
      </w:r>
    </w:p>
    <w:p>
      <w:r>
        <w:rPr>
          <w:b w:val="0"/>
          <w:i w:val="0"/>
        </w:rPr>
        <w:t>Collects honeydew and other sugary liquids and eats live or dead insects. Foraging workers may travel from a tree nest into a house without nesting inside. [ID]</w:t>
      </w:r>
    </w:p>
    <w:p>
      <w:pPr>
        <w:jc w:val="center"/>
      </w:pPr>
      <w:r>
        <w:drawing>
          <wp:inline xmlns:a="http://schemas.openxmlformats.org/drawingml/2006/main" xmlns:pic="http://schemas.openxmlformats.org/drawingml/2006/picture">
            <wp:extent cx="5120640" cy="3843894"/>
            <wp:docPr id="1" name="Picture 1"/>
            <wp:cNvGraphicFramePr>
              <a:graphicFrameLocks noChangeAspect="1"/>
            </wp:cNvGraphicFramePr>
            <a:graphic>
              <a:graphicData uri="http://schemas.openxmlformats.org/drawingml/2006/picture">
                <pic:pic>
                  <pic:nvPicPr>
                    <pic:cNvPr id="0" name="85bc577e134de12dd843a6fb.jpg"/>
                    <pic:cNvPicPr/>
                  </pic:nvPicPr>
                  <pic:blipFill>
                    <a:blip r:embed="rId12"/>
                    <a:stretch>
                      <a:fillRect/>
                    </a:stretch>
                  </pic:blipFill>
                  <pic:spPr>
                    <a:xfrm>
                      <a:off x="0" y="0"/>
                      <a:ext cx="5120640" cy="3843894"/>
                    </a:xfrm>
                    <a:prstGeom prst="rect"/>
                  </pic:spPr>
                </pic:pic>
              </a:graphicData>
            </a:graphic>
          </wp:inline>
        </w:drawing>
      </w:r>
    </w:p>
    <w:p>
      <w:pPr>
        <w:pStyle w:val="Caption"/>
      </w:pPr>
      <w:r>
        <w:rPr>
          <w:b w:val="0"/>
          <w:i w:val="0"/>
        </w:rPr>
        <w:t>Winged male black carpenter ant. Males have a different build from workers.</w:t>
      </w:r>
      <w:r>
        <w:br/>
      </w:r>
      <w:r>
        <w:t xml:space="preserve">Photograph: xpda · </w:t>
      </w:r>
      <w:hyperlink r:id="rId13">
        <w:r>
          <w:rPr>
            <w:color w:val="245B43"/>
            <w:u w:val="single"/>
          </w:rPr>
          <w:t>Original source</w:t>
        </w:r>
      </w:hyperlink>
      <w:r>
        <w:t xml:space="preserve"> · </w:t>
      </w:r>
      <w:hyperlink r:id="rId14">
        <w:r>
          <w:rPr>
            <w:color w:val="245B43"/>
            <w:u w:val="single"/>
          </w:rPr>
          <w:t>CC BY-SA 4.0</w:t>
        </w:r>
      </w:hyperlink>
      <w:r>
        <w:t>. Resized proportionally.</w:t>
      </w:r>
    </w:p>
    <w:p>
      <w:pPr>
        <w:pStyle w:val="Heading2"/>
      </w:pPr>
      <w:r>
        <w:t>Life cycle and seasonal timing</w:t>
      </w:r>
    </w:p>
    <w:p>
      <w:r>
        <w:rPr>
          <w:b w:val="0"/>
          <w:i w:val="0"/>
        </w:rPr>
        <w:t>Colonies include differently sized female workers, a queen, brood, and seasonal winged reproductives. A colony may use a main nest and additional satellite nests. Their moisture conditions and occupants can differ.</w:t>
      </w:r>
    </w:p>
    <w:p>
      <w:r>
        <w:rPr>
          <w:b w:val="0"/>
          <w:i w:val="0"/>
        </w:rPr>
        <w:t>Winged reproductives are often noticed in spring and early summer. Repeated winter or very early indoor activity warrants a search for a sheltered nest. [ID, Carpenter]</w:t>
      </w:r>
    </w:p>
    <w:p>
      <w:pPr>
        <w:jc w:val="center"/>
      </w:pPr>
      <w:r>
        <w:drawing>
          <wp:inline xmlns:a="http://schemas.openxmlformats.org/drawingml/2006/main" xmlns:pic="http://schemas.openxmlformats.org/drawingml/2006/picture">
            <wp:extent cx="5120640" cy="3413760"/>
            <wp:docPr id="2" name="Picture 2"/>
            <wp:cNvGraphicFramePr>
              <a:graphicFrameLocks noChangeAspect="1"/>
            </wp:cNvGraphicFramePr>
            <a:graphic>
              <a:graphicData uri="http://schemas.openxmlformats.org/drawingml/2006/picture">
                <pic:pic>
                  <pic:nvPicPr>
                    <pic:cNvPr id="0" name="6dd72f1e04f2fd43a095b319.jpg"/>
                    <pic:cNvPicPr/>
                  </pic:nvPicPr>
                  <pic:blipFill>
                    <a:blip r:embed="rId15"/>
                    <a:stretch>
                      <a:fillRect/>
                    </a:stretch>
                  </pic:blipFill>
                  <pic:spPr>
                    <a:xfrm>
                      <a:off x="0" y="0"/>
                      <a:ext cx="5120640" cy="3413760"/>
                    </a:xfrm>
                    <a:prstGeom prst="rect"/>
                  </pic:spPr>
                </pic:pic>
              </a:graphicData>
            </a:graphic>
          </wp:inline>
        </w:drawing>
      </w:r>
    </w:p>
    <w:p>
      <w:pPr>
        <w:pStyle w:val="Caption"/>
      </w:pPr>
      <w:r>
        <w:rPr>
          <w:b w:val="0"/>
          <w:i w:val="0"/>
        </w:rPr>
        <w:t>Carpenter ant drone wiki.jpg • Bruce Marlin • CC BY-SA 2.5</w:t>
      </w:r>
      <w:r>
        <w:br/>
      </w:r>
      <w:r>
        <w:t xml:space="preserve">Photograph: Bruce Marlin · </w:t>
      </w:r>
      <w:hyperlink r:id="rId16">
        <w:r>
          <w:rPr>
            <w:color w:val="245B43"/>
            <w:u w:val="single"/>
          </w:rPr>
          <w:t>Original source</w:t>
        </w:r>
      </w:hyperlink>
      <w:r>
        <w:t xml:space="preserve"> · </w:t>
      </w:r>
      <w:hyperlink r:id="rId17">
        <w:r>
          <w:rPr>
            <w:color w:val="245B43"/>
            <w:u w:val="single"/>
          </w:rPr>
          <w:t>CC BY-SA 2.5</w:t>
        </w:r>
      </w:hyperlink>
      <w:r>
        <w:t>. Resized proportionally.</w:t>
      </w:r>
    </w:p>
    <w:p>
      <w:pPr>
        <w:jc w:val="center"/>
      </w:pPr>
      <w:r>
        <w:drawing>
          <wp:inline xmlns:a="http://schemas.openxmlformats.org/drawingml/2006/main" xmlns:pic="http://schemas.openxmlformats.org/drawingml/2006/picture">
            <wp:extent cx="5120640" cy="3840480"/>
            <wp:docPr id="3" name="Picture 3"/>
            <wp:cNvGraphicFramePr>
              <a:graphicFrameLocks noChangeAspect="1"/>
            </wp:cNvGraphicFramePr>
            <a:graphic>
              <a:graphicData uri="http://schemas.openxmlformats.org/drawingml/2006/picture">
                <pic:pic>
                  <pic:nvPicPr>
                    <pic:cNvPr id="0" name="283fcc6808ca00b87a983a57.jpg"/>
                    <pic:cNvPicPr/>
                  </pic:nvPicPr>
                  <pic:blipFill>
                    <a:blip r:embed="rId18"/>
                    <a:stretch>
                      <a:fillRect/>
                    </a:stretch>
                  </pic:blipFill>
                  <pic:spPr>
                    <a:xfrm>
                      <a:off x="0" y="0"/>
                      <a:ext cx="5120640" cy="3840480"/>
                    </a:xfrm>
                    <a:prstGeom prst="rect"/>
                  </pic:spPr>
                </pic:pic>
              </a:graphicData>
            </a:graphic>
          </wp:inline>
        </w:drawing>
      </w:r>
    </w:p>
    <w:p>
      <w:pPr>
        <w:pStyle w:val="Caption"/>
      </w:pPr>
      <w:r>
        <w:rPr>
          <w:b w:val="0"/>
          <w:i w:val="0"/>
        </w:rPr>
        <w:t>Turkey Run SP, IN 2.jpg • Daniel Schwen • CC BY-SA 4.0</w:t>
      </w:r>
      <w:r>
        <w:br/>
      </w:r>
      <w:r>
        <w:t xml:space="preserve">Photograph: Daniel Schwen · </w:t>
      </w:r>
      <w:hyperlink r:id="rId19">
        <w:r>
          <w:rPr>
            <w:color w:val="245B43"/>
            <w:u w:val="single"/>
          </w:rPr>
          <w:t>Original source</w:t>
        </w:r>
      </w:hyperlink>
      <w:r>
        <w:t xml:space="preserve"> · </w:t>
      </w:r>
      <w:hyperlink r:id="rId14">
        <w:r>
          <w:rPr>
            <w:color w:val="245B43"/>
            <w:u w:val="single"/>
          </w:rPr>
          <w:t>CC BY-SA 4.0</w:t>
        </w:r>
      </w:hyperlink>
      <w:r>
        <w:t>. Resized proportionally.</w:t>
      </w:r>
    </w:p>
    <w:p>
      <w:pPr>
        <w:pStyle w:val="Heading2"/>
      </w:pPr>
      <w:r>
        <w:t>Environment and local occurrence</w:t>
      </w:r>
    </w:p>
    <w:p>
      <w:r>
        <w:rPr>
          <w:b w:val="0"/>
          <w:i w:val="0"/>
        </w:rPr>
        <w:t>Hollow or decaying trees, stumps, logs, and sometimes structural timbers. Damp wood often supports the main nest; satellite nests may occupy drier spaces.</w:t>
      </w:r>
    </w:p>
    <w:p>
      <w:r>
        <w:rPr>
          <w:b w:val="0"/>
          <w:i w:val="0"/>
        </w:rPr>
        <w:t>Morris lists Tippecanoe County under an older Camponotus pennsylvanicus combination. The record supports historical local occurrence, not a current nest location. [IN]</w:t>
      </w:r>
    </w:p>
    <w:p>
      <w:pPr>
        <w:pStyle w:val="Heading2"/>
      </w:pPr>
      <w:r>
        <w:t>Living with this ant</w:t>
      </w:r>
    </w:p>
    <w:p>
      <w:r>
        <w:rPr>
          <w:b w:val="0"/>
          <w:i w:val="0"/>
        </w:rPr>
        <w:t>Document activity and wood debris, repair water problems, and seek professional assessment when a building nest is suspected. Treating visible foragers alone can leave the main nest and satellites intact. [UC]</w:t>
      </w:r>
    </w:p>
    <w:p>
      <w:r>
        <w:rPr>
          <w:b w:val="0"/>
          <w:i w:val="0"/>
        </w:rPr>
        <w:t>Observe without handling or deliberately disturbing the nest. Before using a pesticide, confirm the ant and follow the current label for the site and application. Protect food, children, pets, and nearby water.</w:t>
      </w:r>
    </w:p>
    <w:p>
      <w:pPr>
        <w:pStyle w:val="Heading2"/>
      </w:pPr>
      <w:r>
        <w:t>Related Information Sheets</w:t>
      </w:r>
    </w:p>
    <w:p>
      <w:r>
        <w:rPr>
          <w:b w:val="0"/>
          <w:i w:val="0"/>
        </w:rPr>
        <w:t xml:space="preserve">Added September 22, 2026 · </w:t>
      </w:r>
      <w:hyperlink r:id="rId20">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1">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Black Carpenter Ant — Climate</w:t>
      </w:r>
    </w:p>
    <w:p>
      <w:r>
        <w:rPr>
          <w:b/>
        </w:rPr>
        <w:t xml:space="preserve">Online Information Sheet: </w:t>
      </w:r>
      <w:hyperlink r:id="rId22">
        <w:r>
          <w:rPr>
            <w:color w:val="245B43"/>
            <w:u w:val="single"/>
          </w:rPr>
          <w:t>planteducationproject.com/animals/black-carpenter-ant/climate/</w:t>
        </w:r>
      </w:hyperlink>
    </w:p>
    <w:p>
      <w:r>
        <w:rPr>
          <w:b w:val="0"/>
          <w:i w:val="0"/>
        </w:rPr>
        <w:t>🌿 Climate Information Sheet</w:t>
      </w:r>
    </w:p>
    <w:p>
      <w:r>
        <w:rPr>
          <w:b w:val="0"/>
          <w:i/>
        </w:rPr>
        <w:t>Camponotus pennsylvanicus</w:t>
      </w:r>
    </w:p>
    <w:p>
      <w:r>
        <w:rPr>
          <w:b w:val="0"/>
          <w:i w:val="0"/>
        </w:rPr>
        <w:t>Indiana provides a seasonal outdoor setting, with freezing winters and warm summers. The table describes Lafayette weather; it is not a nest-temperature range or a laboratory tolerance limit for this ant.</w:t>
      </w:r>
    </w:p>
    <w:p>
      <w:pPr>
        <w:pStyle w:val="Heading2"/>
      </w:pPr>
      <w:r>
        <w:t>Lafayette climate at a glance</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val="0"/>
                <w:sz w:val="22"/>
              </w:rPr>
              <w:t>Month</w:t>
            </w:r>
          </w:p>
        </w:tc>
        <w:tc>
          <w:tcPr>
            <w:tcW w:type="dxa" w:w="2033"/>
            <w:vAlign w:val="center"/>
            <w:shd w:fill="E9EDF0"/>
          </w:tcPr>
          <w:p>
            <w:pPr>
              <w:spacing w:after="60"/>
            </w:pPr>
            <w:r>
              <w:rPr>
                <w:b/>
                <w:i w:val="0"/>
                <w:sz w:val="22"/>
              </w:rPr>
              <w:t>Mean °F</w:t>
            </w:r>
          </w:p>
        </w:tc>
        <w:tc>
          <w:tcPr>
            <w:tcW w:type="dxa" w:w="2033"/>
            <w:vAlign w:val="center"/>
            <w:shd w:fill="E9EDF0"/>
          </w:tcPr>
          <w:p>
            <w:pPr>
              <w:spacing w:after="60"/>
            </w:pPr>
            <w:r>
              <w:rPr>
                <w:b/>
                <w:i w:val="0"/>
                <w:sz w:val="22"/>
              </w:rPr>
              <w:t>Mean °C</w:t>
            </w:r>
          </w:p>
        </w:tc>
        <w:tc>
          <w:tcPr>
            <w:tcW w:type="dxa" w:w="2033"/>
            <w:vAlign w:val="center"/>
            <w:shd w:fill="E9EDF0"/>
          </w:tcPr>
          <w:p>
            <w:pPr>
              <w:spacing w:after="60"/>
            </w:pPr>
            <w:r>
              <w:rPr>
                <w:b/>
                <w:i w:val="0"/>
                <w:sz w:val="22"/>
              </w:rPr>
              <w:t>Precip in</w:t>
            </w:r>
          </w:p>
        </w:tc>
        <w:tc>
          <w:tcPr>
            <w:tcW w:type="dxa" w:w="2033"/>
            <w:vAlign w:val="center"/>
            <w:shd w:fill="E9EDF0"/>
          </w:tcPr>
          <w:p>
            <w:pPr>
              <w:spacing w:after="60"/>
            </w:pPr>
            <w:r>
              <w:rPr>
                <w:b/>
                <w:i w:val="0"/>
                <w:sz w:val="22"/>
              </w:rPr>
              <w:t>Precip mm</w:t>
            </w:r>
          </w:p>
        </w:tc>
      </w:tr>
      <w:tr>
        <w:trPr>
          <w:cantSplit/>
        </w:trPr>
        <w:tc>
          <w:tcPr>
            <w:tcW w:type="dxa" w:w="2033"/>
            <w:vAlign w:val="center"/>
            <w:shd w:fill="FFFFFF"/>
          </w:tcPr>
          <w:p>
            <w:pPr>
              <w:spacing w:after="60"/>
            </w:pPr>
            <w:r>
              <w:rPr>
                <w:b/>
                <w:i w:val="0"/>
                <w:sz w:val="22"/>
              </w:rPr>
              <w:t>Jan</w:t>
            </w:r>
          </w:p>
        </w:tc>
        <w:tc>
          <w:tcPr>
            <w:tcW w:type="dxa" w:w="2033"/>
            <w:vAlign w:val="center"/>
            <w:shd w:fill="FFFFFF"/>
          </w:tcPr>
          <w:p>
            <w:pPr>
              <w:spacing w:after="60"/>
            </w:pPr>
            <w:r>
              <w:rPr>
                <w:b w:val="0"/>
                <w:i w:val="0"/>
                <w:sz w:val="22"/>
              </w:rPr>
              <w:t>25.8</w:t>
            </w:r>
          </w:p>
        </w:tc>
        <w:tc>
          <w:tcPr>
            <w:tcW w:type="dxa" w:w="2033"/>
            <w:vAlign w:val="center"/>
            <w:shd w:fill="FFFFFF"/>
          </w:tcPr>
          <w:p>
            <w:pPr>
              <w:spacing w:after="60"/>
            </w:pPr>
            <w:r>
              <w:rPr>
                <w:b w:val="0"/>
                <w:i w:val="0"/>
                <w:sz w:val="22"/>
              </w:rPr>
              <w:t>-3.4</w:t>
            </w:r>
          </w:p>
        </w:tc>
        <w:tc>
          <w:tcPr>
            <w:tcW w:type="dxa" w:w="2033"/>
            <w:vAlign w:val="center"/>
            <w:shd w:fill="FFFFFF"/>
          </w:tcPr>
          <w:p>
            <w:pPr>
              <w:spacing w:after="60"/>
            </w:pPr>
            <w:r>
              <w:rPr>
                <w:b w:val="0"/>
                <w:i w:val="0"/>
                <w:sz w:val="22"/>
              </w:rPr>
              <w:t>2.19</w:t>
            </w:r>
          </w:p>
        </w:tc>
        <w:tc>
          <w:tcPr>
            <w:tcW w:type="dxa" w:w="2033"/>
            <w:vAlign w:val="center"/>
            <w:shd w:fill="FFFFFF"/>
          </w:tcPr>
          <w:p>
            <w:pPr>
              <w:spacing w:after="60"/>
            </w:pPr>
            <w:r>
              <w:rPr>
                <w:b w:val="0"/>
                <w:i w:val="0"/>
                <w:sz w:val="22"/>
              </w:rPr>
              <w:t>56</w:t>
            </w:r>
          </w:p>
        </w:tc>
      </w:tr>
      <w:tr>
        <w:trPr>
          <w:cantSplit/>
        </w:trPr>
        <w:tc>
          <w:tcPr>
            <w:tcW w:type="dxa" w:w="2033"/>
            <w:vAlign w:val="center"/>
            <w:shd w:fill="FFFFFF"/>
          </w:tcPr>
          <w:p>
            <w:pPr>
              <w:spacing w:after="60"/>
            </w:pPr>
            <w:r>
              <w:rPr>
                <w:b/>
                <w:i w:val="0"/>
                <w:sz w:val="22"/>
              </w:rPr>
              <w:t>Feb</w:t>
            </w:r>
          </w:p>
        </w:tc>
        <w:tc>
          <w:tcPr>
            <w:tcW w:type="dxa" w:w="2033"/>
            <w:vAlign w:val="center"/>
            <w:shd w:fill="FFFFFF"/>
          </w:tcPr>
          <w:p>
            <w:pPr>
              <w:spacing w:after="60"/>
            </w:pPr>
            <w:r>
              <w:rPr>
                <w:b w:val="0"/>
                <w:i w:val="0"/>
                <w:sz w:val="22"/>
              </w:rPr>
              <w:t>29.7</w:t>
            </w:r>
          </w:p>
        </w:tc>
        <w:tc>
          <w:tcPr>
            <w:tcW w:type="dxa" w:w="2033"/>
            <w:vAlign w:val="center"/>
            <w:shd w:fill="FFFFFF"/>
          </w:tcPr>
          <w:p>
            <w:pPr>
              <w:spacing w:after="60"/>
            </w:pPr>
            <w:r>
              <w:rPr>
                <w:b w:val="0"/>
                <w:i w:val="0"/>
                <w:sz w:val="22"/>
              </w:rPr>
              <w:t>-1.3</w:t>
            </w:r>
          </w:p>
        </w:tc>
        <w:tc>
          <w:tcPr>
            <w:tcW w:type="dxa" w:w="2033"/>
            <w:vAlign w:val="center"/>
            <w:shd w:fill="FFFFFF"/>
          </w:tcPr>
          <w:p>
            <w:pPr>
              <w:spacing w:after="60"/>
            </w:pPr>
            <w:r>
              <w:rPr>
                <w:b w:val="0"/>
                <w:i w:val="0"/>
                <w:sz w:val="22"/>
              </w:rPr>
              <w:t>1.78</w:t>
            </w:r>
          </w:p>
        </w:tc>
        <w:tc>
          <w:tcPr>
            <w:tcW w:type="dxa" w:w="2033"/>
            <w:vAlign w:val="center"/>
            <w:shd w:fill="FFFFFF"/>
          </w:tcPr>
          <w:p>
            <w:pPr>
              <w:spacing w:after="60"/>
            </w:pPr>
            <w:r>
              <w:rPr>
                <w:b w:val="0"/>
                <w:i w:val="0"/>
                <w:sz w:val="22"/>
              </w:rPr>
              <w:t>45</w:t>
            </w:r>
          </w:p>
        </w:tc>
      </w:tr>
      <w:tr>
        <w:trPr>
          <w:cantSplit/>
        </w:trPr>
        <w:tc>
          <w:tcPr>
            <w:tcW w:type="dxa" w:w="2033"/>
            <w:vAlign w:val="center"/>
            <w:shd w:fill="FFFFFF"/>
          </w:tcPr>
          <w:p>
            <w:pPr>
              <w:spacing w:after="60"/>
            </w:pPr>
            <w:r>
              <w:rPr>
                <w:b/>
                <w:i w:val="0"/>
                <w:sz w:val="22"/>
              </w:rPr>
              <w:t>Mar</w:t>
            </w:r>
          </w:p>
        </w:tc>
        <w:tc>
          <w:tcPr>
            <w:tcW w:type="dxa" w:w="2033"/>
            <w:vAlign w:val="center"/>
            <w:shd w:fill="FFFFFF"/>
          </w:tcPr>
          <w:p>
            <w:pPr>
              <w:spacing w:after="60"/>
            </w:pPr>
            <w:r>
              <w:rPr>
                <w:b w:val="0"/>
                <w:i w:val="0"/>
                <w:sz w:val="22"/>
              </w:rPr>
              <w:t>40.0</w:t>
            </w:r>
          </w:p>
        </w:tc>
        <w:tc>
          <w:tcPr>
            <w:tcW w:type="dxa" w:w="2033"/>
            <w:vAlign w:val="center"/>
            <w:shd w:fill="FFFFFF"/>
          </w:tcPr>
          <w:p>
            <w:pPr>
              <w:spacing w:after="60"/>
            </w:pPr>
            <w:r>
              <w:rPr>
                <w:b w:val="0"/>
                <w:i w:val="0"/>
                <w:sz w:val="22"/>
              </w:rPr>
              <w:t>4.4</w:t>
            </w:r>
          </w:p>
        </w:tc>
        <w:tc>
          <w:tcPr>
            <w:tcW w:type="dxa" w:w="2033"/>
            <w:vAlign w:val="center"/>
            <w:shd w:fill="FFFFFF"/>
          </w:tcPr>
          <w:p>
            <w:pPr>
              <w:spacing w:after="60"/>
            </w:pPr>
            <w:r>
              <w:rPr>
                <w:b w:val="0"/>
                <w:i w:val="0"/>
                <w:sz w:val="22"/>
              </w:rPr>
              <w:t>2.73</w:t>
            </w:r>
          </w:p>
        </w:tc>
        <w:tc>
          <w:tcPr>
            <w:tcW w:type="dxa" w:w="2033"/>
            <w:vAlign w:val="center"/>
            <w:shd w:fill="FFFFFF"/>
          </w:tcPr>
          <w:p>
            <w:pPr>
              <w:spacing w:after="60"/>
            </w:pPr>
            <w:r>
              <w:rPr>
                <w:b w:val="0"/>
                <w:i w:val="0"/>
                <w:sz w:val="22"/>
              </w:rPr>
              <w:t>69</w:t>
            </w:r>
          </w:p>
        </w:tc>
      </w:tr>
      <w:tr>
        <w:trPr>
          <w:cantSplit/>
        </w:trPr>
        <w:tc>
          <w:tcPr>
            <w:tcW w:type="dxa" w:w="2033"/>
            <w:vAlign w:val="center"/>
            <w:shd w:fill="FFFFFF"/>
          </w:tcPr>
          <w:p>
            <w:pPr>
              <w:spacing w:after="60"/>
            </w:pPr>
            <w:r>
              <w:rPr>
                <w:b/>
                <w:i w:val="0"/>
                <w:sz w:val="22"/>
              </w:rPr>
              <w:t>Apr</w:t>
            </w:r>
          </w:p>
        </w:tc>
        <w:tc>
          <w:tcPr>
            <w:tcW w:type="dxa" w:w="2033"/>
            <w:vAlign w:val="center"/>
            <w:shd w:fill="FFFFFF"/>
          </w:tcPr>
          <w:p>
            <w:pPr>
              <w:spacing w:after="60"/>
            </w:pPr>
            <w:r>
              <w:rPr>
                <w:b w:val="0"/>
                <w:i w:val="0"/>
                <w:sz w:val="22"/>
              </w:rPr>
              <w:t>51.1</w:t>
            </w:r>
          </w:p>
        </w:tc>
        <w:tc>
          <w:tcPr>
            <w:tcW w:type="dxa" w:w="2033"/>
            <w:vAlign w:val="center"/>
            <w:shd w:fill="FFFFFF"/>
          </w:tcPr>
          <w:p>
            <w:pPr>
              <w:spacing w:after="60"/>
            </w:pPr>
            <w:r>
              <w:rPr>
                <w:b w:val="0"/>
                <w:i w:val="0"/>
                <w:sz w:val="22"/>
              </w:rPr>
              <w:t>10.6</w:t>
            </w:r>
          </w:p>
        </w:tc>
        <w:tc>
          <w:tcPr>
            <w:tcW w:type="dxa" w:w="2033"/>
            <w:vAlign w:val="center"/>
            <w:shd w:fill="FFFFFF"/>
          </w:tcPr>
          <w:p>
            <w:pPr>
              <w:spacing w:after="60"/>
            </w:pPr>
            <w:r>
              <w:rPr>
                <w:b w:val="0"/>
                <w:i w:val="0"/>
                <w:sz w:val="22"/>
              </w:rPr>
              <w:t>3.84</w:t>
            </w:r>
          </w:p>
        </w:tc>
        <w:tc>
          <w:tcPr>
            <w:tcW w:type="dxa" w:w="2033"/>
            <w:vAlign w:val="center"/>
            <w:shd w:fill="FFFFFF"/>
          </w:tcPr>
          <w:p>
            <w:pPr>
              <w:spacing w:after="60"/>
            </w:pPr>
            <w:r>
              <w:rPr>
                <w:b w:val="0"/>
                <w:i w:val="0"/>
                <w:sz w:val="22"/>
              </w:rPr>
              <w:t>98</w:t>
            </w:r>
          </w:p>
        </w:tc>
      </w:tr>
      <w:tr>
        <w:trPr>
          <w:cantSplit/>
        </w:trPr>
        <w:tc>
          <w:tcPr>
            <w:tcW w:type="dxa" w:w="2033"/>
            <w:vAlign w:val="center"/>
            <w:shd w:fill="FFFFFF"/>
          </w:tcPr>
          <w:p>
            <w:pPr>
              <w:spacing w:after="60"/>
            </w:pPr>
            <w:r>
              <w:rPr>
                <w:b/>
                <w:i w:val="0"/>
                <w:sz w:val="22"/>
              </w:rPr>
              <w:t>May</w:t>
            </w:r>
          </w:p>
        </w:tc>
        <w:tc>
          <w:tcPr>
            <w:tcW w:type="dxa" w:w="2033"/>
            <w:vAlign w:val="center"/>
            <w:shd w:fill="FFFFFF"/>
          </w:tcPr>
          <w:p>
            <w:pPr>
              <w:spacing w:after="60"/>
            </w:pPr>
            <w:r>
              <w:rPr>
                <w:b w:val="0"/>
                <w:i w:val="0"/>
                <w:sz w:val="22"/>
              </w:rPr>
              <w:t>61.6</w:t>
            </w:r>
          </w:p>
        </w:tc>
        <w:tc>
          <w:tcPr>
            <w:tcW w:type="dxa" w:w="2033"/>
            <w:vAlign w:val="center"/>
            <w:shd w:fill="FFFFFF"/>
          </w:tcPr>
          <w:p>
            <w:pPr>
              <w:spacing w:after="60"/>
            </w:pPr>
            <w:r>
              <w:rPr>
                <w:b w:val="0"/>
                <w:i w:val="0"/>
                <w:sz w:val="22"/>
              </w:rPr>
              <w:t>16.4</w:t>
            </w:r>
          </w:p>
        </w:tc>
        <w:tc>
          <w:tcPr>
            <w:tcW w:type="dxa" w:w="2033"/>
            <w:vAlign w:val="center"/>
            <w:shd w:fill="FFFFFF"/>
          </w:tcPr>
          <w:p>
            <w:pPr>
              <w:spacing w:after="60"/>
            </w:pPr>
            <w:r>
              <w:rPr>
                <w:b w:val="0"/>
                <w:i w:val="0"/>
                <w:sz w:val="22"/>
              </w:rPr>
              <w:t>4.04</w:t>
            </w:r>
          </w:p>
        </w:tc>
        <w:tc>
          <w:tcPr>
            <w:tcW w:type="dxa" w:w="2033"/>
            <w:vAlign w:val="center"/>
            <w:shd w:fill="FFFFFF"/>
          </w:tcPr>
          <w:p>
            <w:pPr>
              <w:spacing w:after="60"/>
            </w:pPr>
            <w:r>
              <w:rPr>
                <w:b w:val="0"/>
                <w:i w:val="0"/>
                <w:sz w:val="22"/>
              </w:rPr>
              <w:t>103</w:t>
            </w:r>
          </w:p>
        </w:tc>
      </w:tr>
      <w:tr>
        <w:trPr>
          <w:cantSplit/>
        </w:trPr>
        <w:tc>
          <w:tcPr>
            <w:tcW w:type="dxa" w:w="2033"/>
            <w:vAlign w:val="center"/>
            <w:shd w:fill="FFFFFF"/>
          </w:tcPr>
          <w:p>
            <w:pPr>
              <w:spacing w:after="60"/>
            </w:pPr>
            <w:r>
              <w:rPr>
                <w:b/>
                <w:i w:val="0"/>
                <w:sz w:val="22"/>
              </w:rPr>
              <w:t>Jun</w:t>
            </w:r>
          </w:p>
        </w:tc>
        <w:tc>
          <w:tcPr>
            <w:tcW w:type="dxa" w:w="2033"/>
            <w:vAlign w:val="center"/>
            <w:shd w:fill="FFFFFF"/>
          </w:tcPr>
          <w:p>
            <w:pPr>
              <w:spacing w:after="60"/>
            </w:pPr>
            <w:r>
              <w:rPr>
                <w:b w:val="0"/>
                <w:i w:val="0"/>
                <w:sz w:val="22"/>
              </w:rPr>
              <w:t>70.7</w:t>
            </w:r>
          </w:p>
        </w:tc>
        <w:tc>
          <w:tcPr>
            <w:tcW w:type="dxa" w:w="2033"/>
            <w:vAlign w:val="center"/>
            <w:shd w:fill="FFFFFF"/>
          </w:tcPr>
          <w:p>
            <w:pPr>
              <w:spacing w:after="60"/>
            </w:pPr>
            <w:r>
              <w:rPr>
                <w:b w:val="0"/>
                <w:i w:val="0"/>
                <w:sz w:val="22"/>
              </w:rPr>
              <w:t>21.5</w:t>
            </w:r>
          </w:p>
        </w:tc>
        <w:tc>
          <w:tcPr>
            <w:tcW w:type="dxa" w:w="2033"/>
            <w:vAlign w:val="center"/>
            <w:shd w:fill="FFFFFF"/>
          </w:tcPr>
          <w:p>
            <w:pPr>
              <w:spacing w:after="60"/>
            </w:pPr>
            <w:r>
              <w:rPr>
                <w:b w:val="0"/>
                <w:i w:val="0"/>
                <w:sz w:val="22"/>
              </w:rPr>
              <w:t>4.56</w:t>
            </w:r>
          </w:p>
        </w:tc>
        <w:tc>
          <w:tcPr>
            <w:tcW w:type="dxa" w:w="2033"/>
            <w:vAlign w:val="center"/>
            <w:shd w:fill="FFFFFF"/>
          </w:tcPr>
          <w:p>
            <w:pPr>
              <w:spacing w:after="60"/>
            </w:pPr>
            <w:r>
              <w:rPr>
                <w:b w:val="0"/>
                <w:i w:val="0"/>
                <w:sz w:val="22"/>
              </w:rPr>
              <w:t>116</w:t>
            </w:r>
          </w:p>
        </w:tc>
      </w:tr>
      <w:tr>
        <w:trPr>
          <w:cantSplit/>
        </w:trPr>
        <w:tc>
          <w:tcPr>
            <w:tcW w:type="dxa" w:w="2033"/>
            <w:vAlign w:val="center"/>
            <w:shd w:fill="FFFFFF"/>
          </w:tcPr>
          <w:p>
            <w:pPr>
              <w:spacing w:after="60"/>
            </w:pPr>
            <w:r>
              <w:rPr>
                <w:b/>
                <w:i w:val="0"/>
                <w:sz w:val="22"/>
              </w:rPr>
              <w:t>Jul</w:t>
            </w:r>
          </w:p>
        </w:tc>
        <w:tc>
          <w:tcPr>
            <w:tcW w:type="dxa" w:w="2033"/>
            <w:vAlign w:val="center"/>
            <w:shd w:fill="FFFFFF"/>
          </w:tcPr>
          <w:p>
            <w:pPr>
              <w:spacing w:after="60"/>
            </w:pPr>
            <w:r>
              <w:rPr>
                <w:b w:val="0"/>
                <w:i w:val="0"/>
                <w:sz w:val="22"/>
              </w:rPr>
              <w:t>73.6</w:t>
            </w:r>
          </w:p>
        </w:tc>
        <w:tc>
          <w:tcPr>
            <w:tcW w:type="dxa" w:w="2033"/>
            <w:vAlign w:val="center"/>
            <w:shd w:fill="FFFFFF"/>
          </w:tcPr>
          <w:p>
            <w:pPr>
              <w:spacing w:after="60"/>
            </w:pPr>
            <w:r>
              <w:rPr>
                <w:b w:val="0"/>
                <w:i w:val="0"/>
                <w:sz w:val="22"/>
              </w:rPr>
              <w:t>23.1</w:t>
            </w:r>
          </w:p>
        </w:tc>
        <w:tc>
          <w:tcPr>
            <w:tcW w:type="dxa" w:w="2033"/>
            <w:vAlign w:val="center"/>
            <w:shd w:fill="FFFFFF"/>
          </w:tcPr>
          <w:p>
            <w:pPr>
              <w:spacing w:after="60"/>
            </w:pPr>
            <w:r>
              <w:rPr>
                <w:b w:val="0"/>
                <w:i w:val="0"/>
                <w:sz w:val="22"/>
              </w:rPr>
              <w:t>4.08</w:t>
            </w:r>
          </w:p>
        </w:tc>
        <w:tc>
          <w:tcPr>
            <w:tcW w:type="dxa" w:w="2033"/>
            <w:vAlign w:val="center"/>
            <w:shd w:fill="FFFFFF"/>
          </w:tcPr>
          <w:p>
            <w:pPr>
              <w:spacing w:after="60"/>
            </w:pPr>
            <w:r>
              <w:rPr>
                <w:b w:val="0"/>
                <w:i w:val="0"/>
                <w:sz w:val="22"/>
              </w:rPr>
              <w:t>104</w:t>
            </w:r>
          </w:p>
        </w:tc>
      </w:tr>
      <w:tr>
        <w:trPr>
          <w:cantSplit/>
        </w:trPr>
        <w:tc>
          <w:tcPr>
            <w:tcW w:type="dxa" w:w="2033"/>
            <w:vAlign w:val="center"/>
            <w:shd w:fill="FFFFFF"/>
          </w:tcPr>
          <w:p>
            <w:pPr>
              <w:spacing w:after="60"/>
            </w:pPr>
            <w:r>
              <w:rPr>
                <w:b/>
                <w:i w:val="0"/>
                <w:sz w:val="22"/>
              </w:rPr>
              <w:t>Aug</w:t>
            </w:r>
          </w:p>
        </w:tc>
        <w:tc>
          <w:tcPr>
            <w:tcW w:type="dxa" w:w="2033"/>
            <w:vAlign w:val="center"/>
            <w:shd w:fill="FFFFFF"/>
          </w:tcPr>
          <w:p>
            <w:pPr>
              <w:spacing w:after="60"/>
            </w:pPr>
            <w:r>
              <w:rPr>
                <w:b w:val="0"/>
                <w:i w:val="0"/>
                <w:sz w:val="22"/>
              </w:rPr>
              <w:t>72.2</w:t>
            </w:r>
          </w:p>
        </w:tc>
        <w:tc>
          <w:tcPr>
            <w:tcW w:type="dxa" w:w="2033"/>
            <w:vAlign w:val="center"/>
            <w:shd w:fill="FFFFFF"/>
          </w:tcPr>
          <w:p>
            <w:pPr>
              <w:spacing w:after="60"/>
            </w:pPr>
            <w:r>
              <w:rPr>
                <w:b w:val="0"/>
                <w:i w:val="0"/>
                <w:sz w:val="22"/>
              </w:rPr>
              <w:t>22.3</w:t>
            </w:r>
          </w:p>
        </w:tc>
        <w:tc>
          <w:tcPr>
            <w:tcW w:type="dxa" w:w="2033"/>
            <w:vAlign w:val="center"/>
            <w:shd w:fill="FFFFFF"/>
          </w:tcPr>
          <w:p>
            <w:pPr>
              <w:spacing w:after="60"/>
            </w:pPr>
            <w:r>
              <w:rPr>
                <w:b w:val="0"/>
                <w:i w:val="0"/>
                <w:sz w:val="22"/>
              </w:rPr>
              <w:t>3.12</w:t>
            </w:r>
          </w:p>
        </w:tc>
        <w:tc>
          <w:tcPr>
            <w:tcW w:type="dxa" w:w="2033"/>
            <w:vAlign w:val="center"/>
            <w:shd w:fill="FFFFFF"/>
          </w:tcPr>
          <w:p>
            <w:pPr>
              <w:spacing w:after="60"/>
            </w:pPr>
            <w:r>
              <w:rPr>
                <w:b w:val="0"/>
                <w:i w:val="0"/>
                <w:sz w:val="22"/>
              </w:rPr>
              <w:t>79</w:t>
            </w:r>
          </w:p>
        </w:tc>
      </w:tr>
      <w:tr>
        <w:trPr>
          <w:cantSplit/>
        </w:trPr>
        <w:tc>
          <w:tcPr>
            <w:tcW w:type="dxa" w:w="2033"/>
            <w:vAlign w:val="center"/>
            <w:shd w:fill="FFFFFF"/>
          </w:tcPr>
          <w:p>
            <w:pPr>
              <w:spacing w:after="60"/>
            </w:pPr>
            <w:r>
              <w:rPr>
                <w:b/>
                <w:i w:val="0"/>
                <w:sz w:val="22"/>
              </w:rPr>
              <w:t>Sep</w:t>
            </w:r>
          </w:p>
        </w:tc>
        <w:tc>
          <w:tcPr>
            <w:tcW w:type="dxa" w:w="2033"/>
            <w:vAlign w:val="center"/>
            <w:shd w:fill="FFFFFF"/>
          </w:tcPr>
          <w:p>
            <w:pPr>
              <w:spacing w:after="60"/>
            </w:pPr>
            <w:r>
              <w:rPr>
                <w:b w:val="0"/>
                <w:i w:val="0"/>
                <w:sz w:val="22"/>
              </w:rPr>
              <w:t>65.5</w:t>
            </w:r>
          </w:p>
        </w:tc>
        <w:tc>
          <w:tcPr>
            <w:tcW w:type="dxa" w:w="2033"/>
            <w:vAlign w:val="center"/>
            <w:shd w:fill="FFFFFF"/>
          </w:tcPr>
          <w:p>
            <w:pPr>
              <w:spacing w:after="60"/>
            </w:pPr>
            <w:r>
              <w:rPr>
                <w:b w:val="0"/>
                <w:i w:val="0"/>
                <w:sz w:val="22"/>
              </w:rPr>
              <w:t>18.6</w:t>
            </w:r>
          </w:p>
        </w:tc>
        <w:tc>
          <w:tcPr>
            <w:tcW w:type="dxa" w:w="2033"/>
            <w:vAlign w:val="center"/>
            <w:shd w:fill="FFFFFF"/>
          </w:tcPr>
          <w:p>
            <w:pPr>
              <w:spacing w:after="60"/>
            </w:pPr>
            <w:r>
              <w:rPr>
                <w:b w:val="0"/>
                <w:i w:val="0"/>
                <w:sz w:val="22"/>
              </w:rPr>
              <w:t>2.59</w:t>
            </w:r>
          </w:p>
        </w:tc>
        <w:tc>
          <w:tcPr>
            <w:tcW w:type="dxa" w:w="2033"/>
            <w:vAlign w:val="center"/>
            <w:shd w:fill="FFFFFF"/>
          </w:tcPr>
          <w:p>
            <w:pPr>
              <w:spacing w:after="60"/>
            </w:pPr>
            <w:r>
              <w:rPr>
                <w:b w:val="0"/>
                <w:i w:val="0"/>
                <w:sz w:val="22"/>
              </w:rPr>
              <w:t>66</w:t>
            </w:r>
          </w:p>
        </w:tc>
      </w:tr>
      <w:tr>
        <w:trPr>
          <w:cantSplit/>
        </w:trPr>
        <w:tc>
          <w:tcPr>
            <w:tcW w:type="dxa" w:w="2033"/>
            <w:vAlign w:val="center"/>
            <w:shd w:fill="FFFFFF"/>
          </w:tcPr>
          <w:p>
            <w:pPr>
              <w:spacing w:after="60"/>
            </w:pPr>
            <w:r>
              <w:rPr>
                <w:b/>
                <w:i w:val="0"/>
                <w:sz w:val="22"/>
              </w:rPr>
              <w:t>Oct</w:t>
            </w:r>
          </w:p>
        </w:tc>
        <w:tc>
          <w:tcPr>
            <w:tcW w:type="dxa" w:w="2033"/>
            <w:vAlign w:val="center"/>
            <w:shd w:fill="FFFFFF"/>
          </w:tcPr>
          <w:p>
            <w:pPr>
              <w:spacing w:after="60"/>
            </w:pPr>
            <w:r>
              <w:rPr>
                <w:b w:val="0"/>
                <w:i w:val="0"/>
                <w:sz w:val="22"/>
              </w:rPr>
              <w:t>53.7</w:t>
            </w:r>
          </w:p>
        </w:tc>
        <w:tc>
          <w:tcPr>
            <w:tcW w:type="dxa" w:w="2033"/>
            <w:vAlign w:val="center"/>
            <w:shd w:fill="FFFFFF"/>
          </w:tcPr>
          <w:p>
            <w:pPr>
              <w:spacing w:after="60"/>
            </w:pPr>
            <w:r>
              <w:rPr>
                <w:b w:val="0"/>
                <w:i w:val="0"/>
                <w:sz w:val="22"/>
              </w:rPr>
              <w:t>12.1</w:t>
            </w:r>
          </w:p>
        </w:tc>
        <w:tc>
          <w:tcPr>
            <w:tcW w:type="dxa" w:w="2033"/>
            <w:vAlign w:val="center"/>
            <w:shd w:fill="FFFFFF"/>
          </w:tcPr>
          <w:p>
            <w:pPr>
              <w:spacing w:after="60"/>
            </w:pPr>
            <w:r>
              <w:rPr>
                <w:b w:val="0"/>
                <w:i w:val="0"/>
                <w:sz w:val="22"/>
              </w:rPr>
              <w:t>2.91</w:t>
            </w:r>
          </w:p>
        </w:tc>
        <w:tc>
          <w:tcPr>
            <w:tcW w:type="dxa" w:w="2033"/>
            <w:vAlign w:val="center"/>
            <w:shd w:fill="FFFFFF"/>
          </w:tcPr>
          <w:p>
            <w:pPr>
              <w:spacing w:after="60"/>
            </w:pPr>
            <w:r>
              <w:rPr>
                <w:b w:val="0"/>
                <w:i w:val="0"/>
                <w:sz w:val="22"/>
              </w:rPr>
              <w:t>74</w:t>
            </w:r>
          </w:p>
        </w:tc>
      </w:tr>
      <w:tr>
        <w:trPr>
          <w:cantSplit/>
        </w:trPr>
        <w:tc>
          <w:tcPr>
            <w:tcW w:type="dxa" w:w="2033"/>
            <w:vAlign w:val="center"/>
            <w:shd w:fill="FFFFFF"/>
          </w:tcPr>
          <w:p>
            <w:pPr>
              <w:spacing w:after="60"/>
            </w:pPr>
            <w:r>
              <w:rPr>
                <w:b/>
                <w:i w:val="0"/>
                <w:sz w:val="22"/>
              </w:rPr>
              <w:t>Nov</w:t>
            </w:r>
          </w:p>
        </w:tc>
        <w:tc>
          <w:tcPr>
            <w:tcW w:type="dxa" w:w="2033"/>
            <w:vAlign w:val="center"/>
            <w:shd w:fill="FFFFFF"/>
          </w:tcPr>
          <w:p>
            <w:pPr>
              <w:spacing w:after="60"/>
            </w:pPr>
            <w:r>
              <w:rPr>
                <w:b w:val="0"/>
                <w:i w:val="0"/>
                <w:sz w:val="22"/>
              </w:rPr>
              <w:t>41.3</w:t>
            </w:r>
          </w:p>
        </w:tc>
        <w:tc>
          <w:tcPr>
            <w:tcW w:type="dxa" w:w="2033"/>
            <w:vAlign w:val="center"/>
            <w:shd w:fill="FFFFFF"/>
          </w:tcPr>
          <w:p>
            <w:pPr>
              <w:spacing w:after="60"/>
            </w:pPr>
            <w:r>
              <w:rPr>
                <w:b w:val="0"/>
                <w:i w:val="0"/>
                <w:sz w:val="22"/>
              </w:rPr>
              <w:t>5.2</w:t>
            </w:r>
          </w:p>
        </w:tc>
        <w:tc>
          <w:tcPr>
            <w:tcW w:type="dxa" w:w="2033"/>
            <w:vAlign w:val="center"/>
            <w:shd w:fill="FFFFFF"/>
          </w:tcPr>
          <w:p>
            <w:pPr>
              <w:spacing w:after="60"/>
            </w:pPr>
            <w:r>
              <w:rPr>
                <w:b w:val="0"/>
                <w:i w:val="0"/>
                <w:sz w:val="22"/>
              </w:rPr>
              <w:t>2.87</w:t>
            </w:r>
          </w:p>
        </w:tc>
        <w:tc>
          <w:tcPr>
            <w:tcW w:type="dxa" w:w="2033"/>
            <w:vAlign w:val="center"/>
            <w:shd w:fill="FFFFFF"/>
          </w:tcPr>
          <w:p>
            <w:pPr>
              <w:spacing w:after="60"/>
            </w:pPr>
            <w:r>
              <w:rPr>
                <w:b w:val="0"/>
                <w:i w:val="0"/>
                <w:sz w:val="22"/>
              </w:rPr>
              <w:t>73</w:t>
            </w:r>
          </w:p>
        </w:tc>
      </w:tr>
      <w:tr>
        <w:trPr>
          <w:cantSplit/>
        </w:trPr>
        <w:tc>
          <w:tcPr>
            <w:tcW w:type="dxa" w:w="2033"/>
            <w:vAlign w:val="center"/>
            <w:shd w:fill="FFFFFF"/>
          </w:tcPr>
          <w:p>
            <w:pPr>
              <w:spacing w:after="60"/>
            </w:pPr>
            <w:r>
              <w:rPr>
                <w:b/>
                <w:i w:val="0"/>
                <w:sz w:val="22"/>
              </w:rPr>
              <w:t>Dec</w:t>
            </w:r>
          </w:p>
        </w:tc>
        <w:tc>
          <w:tcPr>
            <w:tcW w:type="dxa" w:w="2033"/>
            <w:vAlign w:val="center"/>
            <w:shd w:fill="FFFFFF"/>
          </w:tcPr>
          <w:p>
            <w:pPr>
              <w:spacing w:after="60"/>
            </w:pPr>
            <w:r>
              <w:rPr>
                <w:b w:val="0"/>
                <w:i w:val="0"/>
                <w:sz w:val="22"/>
              </w:rPr>
              <w:t>31.0</w:t>
            </w:r>
          </w:p>
        </w:tc>
        <w:tc>
          <w:tcPr>
            <w:tcW w:type="dxa" w:w="2033"/>
            <w:vAlign w:val="center"/>
            <w:shd w:fill="FFFFFF"/>
          </w:tcPr>
          <w:p>
            <w:pPr>
              <w:spacing w:after="60"/>
            </w:pPr>
            <w:r>
              <w:rPr>
                <w:b w:val="0"/>
                <w:i w:val="0"/>
                <w:sz w:val="22"/>
              </w:rPr>
              <w:t>-0.6</w:t>
            </w:r>
          </w:p>
        </w:tc>
        <w:tc>
          <w:tcPr>
            <w:tcW w:type="dxa" w:w="2033"/>
            <w:vAlign w:val="center"/>
            <w:shd w:fill="FFFFFF"/>
          </w:tcPr>
          <w:p>
            <w:pPr>
              <w:spacing w:after="60"/>
            </w:pPr>
            <w:r>
              <w:rPr>
                <w:b w:val="0"/>
                <w:i w:val="0"/>
                <w:sz w:val="22"/>
              </w:rPr>
              <w:t>2.29</w:t>
            </w:r>
          </w:p>
        </w:tc>
        <w:tc>
          <w:tcPr>
            <w:tcW w:type="dxa" w:w="2033"/>
            <w:vAlign w:val="center"/>
            <w:shd w:fill="FFFFFF"/>
          </w:tcPr>
          <w:p>
            <w:pPr>
              <w:spacing w:after="60"/>
            </w:pPr>
            <w:r>
              <w:rPr>
                <w:b w:val="0"/>
                <w:i w:val="0"/>
                <w:sz w:val="22"/>
              </w:rPr>
              <w:t>58</w:t>
            </w:r>
          </w:p>
        </w:tc>
      </w:tr>
    </w:tbl>
    <w:p>
      <w:pPr>
        <w:spacing w:after="20"/>
      </w:pPr>
    </w:p>
    <w:p>
      <w:pPr>
        <w:pStyle w:val="Heading2"/>
      </w:pPr>
      <w:r>
        <w:t>Seasonal activity</w:t>
      </w:r>
    </w:p>
    <w:p>
      <w:r>
        <w:rPr>
          <w:b w:val="0"/>
          <w:i w:val="0"/>
        </w:rPr>
        <w:t>Look for outdoor foraging in the warm season, especially toward evening. Compare sheltered wood with exposed air conditions when evaluating unusual winter activity.</w:t>
      </w:r>
    </w:p>
    <w:p>
      <w:r>
        <w:rPr>
          <w:b w:val="0"/>
          <w:i w:val="0"/>
        </w:rPr>
        <w:t>Winged reproductives are often noticed in spring and early summer. Repeated winter or very early indoor activity warrants a search for a sheltered nest. [ID, Carpenter]</w:t>
      </w:r>
    </w:p>
    <w:p>
      <w:pPr>
        <w:pStyle w:val="Heading2"/>
      </w:pPr>
      <w:r>
        <w:t>The nest has its own climate</w:t>
      </w:r>
    </w:p>
    <w:p>
      <w:r>
        <w:rPr>
          <w:b w:val="0"/>
          <w:i w:val="0"/>
        </w:rPr>
        <w:t>A hollow tree, damp sill, and insulated wall can have very different temperature and moisture regimes. An airport minimum temperature does not equal the temperature in any of those nests.</w:t>
      </w:r>
    </w:p>
    <w:p>
      <w:r>
        <w:rPr>
          <w:b w:val="0"/>
          <w:i w:val="0"/>
        </w:rPr>
        <w:t>Sun, cover, soil depth, and indoor heating can shift exposure within a few steps. No single temperature or humidity target should be inferred from this regional climate table.</w:t>
      </w:r>
    </w:p>
    <w:p>
      <w:pPr>
        <w:pStyle w:val="Heading2"/>
      </w:pPr>
      <w:r>
        <w:t>Weather extremes and future change</w:t>
      </w:r>
    </w:p>
    <w:p>
      <w:r>
        <w:rPr>
          <w:b w:val="0"/>
          <w:i w:val="0"/>
        </w:rPr>
        <w:t>NOAA’s 2022 Indiana assessment projects warmer conditions and increased risks from heavy precipitation, while greater evaporation can intensify drought. These are regional projections; they do not predict the abundance of an individual ant species. [Climate]</w:t>
      </w:r>
    </w:p>
    <w:p>
      <w:r>
        <w:rPr>
          <w:b w:val="0"/>
          <w:i w:val="0"/>
        </w:rPr>
        <w:t>Observation suggestion: record the first spring workers and each swarm with the date, time, recent rain, and location. Compare several years before attributing a change to climate rather than food availability, habitat change, or observation effort.</w:t>
      </w:r>
    </w:p>
    <w:p>
      <w:pPr>
        <w:pStyle w:val="Heading2"/>
      </w:pPr>
      <w:r>
        <w:t>References</w:t>
      </w:r>
    </w:p>
    <w:p>
      <w:pPr>
        <w:pStyle w:val="Heading2"/>
      </w:pPr>
      <w:r>
        <w:t>Related Information Sheets</w:t>
      </w:r>
    </w:p>
    <w:p>
      <w:r>
        <w:rPr>
          <w:b w:val="0"/>
          <w:i w:val="0"/>
        </w:rPr>
        <w:t xml:space="preserve">Added September 22, 2026 · </w:t>
      </w:r>
      <w:hyperlink r:id="rId20">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1">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Black Carpenter Ant — Ecology</w:t>
      </w:r>
    </w:p>
    <w:p>
      <w:r>
        <w:rPr>
          <w:b/>
        </w:rPr>
        <w:t xml:space="preserve">Online Information Sheet: </w:t>
      </w:r>
      <w:hyperlink r:id="rId23">
        <w:r>
          <w:rPr>
            <w:color w:val="245B43"/>
            <w:u w:val="single"/>
          </w:rPr>
          <w:t>planteducationproject.com/animals/black-carpenter-ant/ecology/</w:t>
        </w:r>
      </w:hyperlink>
    </w:p>
    <w:p>
      <w:r>
        <w:rPr>
          <w:b w:val="0"/>
          <w:i w:val="0"/>
        </w:rPr>
        <w:t>🌿 Ecology Information Sheet</w:t>
      </w:r>
    </w:p>
    <w:p>
      <w:r>
        <w:rPr>
          <w:b w:val="0"/>
          <w:i/>
        </w:rPr>
        <w:t>Camponotus pennsylvanicus</w:t>
      </w:r>
    </w:p>
    <w:p>
      <w:r>
        <w:rPr>
          <w:b w:val="0"/>
          <w:i w:val="0"/>
        </w:rPr>
        <w:t>Follow this ant’s feeding, nesting, and relationships with plants and other animals to understand its role in the local community.</w:t>
      </w:r>
    </w:p>
    <w:p>
      <w:pPr>
        <w:jc w:val="center"/>
      </w:pPr>
      <w:r>
        <w:drawing>
          <wp:inline xmlns:a="http://schemas.openxmlformats.org/drawingml/2006/main" xmlns:pic="http://schemas.openxmlformats.org/drawingml/2006/picture">
            <wp:extent cx="5120640" cy="6819254"/>
            <wp:docPr id="4" name="Picture 4"/>
            <wp:cNvGraphicFramePr>
              <a:graphicFrameLocks noChangeAspect="1"/>
            </wp:cNvGraphicFramePr>
            <a:graphic>
              <a:graphicData uri="http://schemas.openxmlformats.org/drawingml/2006/picture">
                <pic:pic>
                  <pic:nvPicPr>
                    <pic:cNvPr id="0" name="408f71d87d28fadf8c705b63.jpg"/>
                    <pic:cNvPicPr/>
                  </pic:nvPicPr>
                  <pic:blipFill>
                    <a:blip r:embed="rId24"/>
                    <a:stretch>
                      <a:fillRect/>
                    </a:stretch>
                  </pic:blipFill>
                  <pic:spPr>
                    <a:xfrm>
                      <a:off x="0" y="0"/>
                      <a:ext cx="5120640" cy="6819254"/>
                    </a:xfrm>
                    <a:prstGeom prst="rect"/>
                  </pic:spPr>
                </pic:pic>
              </a:graphicData>
            </a:graphic>
          </wp:inline>
        </w:drawing>
      </w:r>
    </w:p>
    <w:p>
      <w:pPr>
        <w:pStyle w:val="Caption"/>
      </w:pPr>
      <w:r>
        <w:rPr>
          <w:b w:val="0"/>
          <w:i w:val="0"/>
        </w:rPr>
        <w:t>Black carpenter ant with aphids in Oklahoma. Identification follows the photographer record.</w:t>
      </w:r>
      <w:r>
        <w:br/>
      </w:r>
      <w:r>
        <w:t xml:space="preserve">Photograph: xpda · </w:t>
      </w:r>
      <w:hyperlink r:id="rId13">
        <w:r>
          <w:rPr>
            <w:color w:val="245B43"/>
            <w:u w:val="single"/>
          </w:rPr>
          <w:t>Original source</w:t>
        </w:r>
      </w:hyperlink>
      <w:r>
        <w:t xml:space="preserve"> · </w:t>
      </w:r>
      <w:hyperlink r:id="rId14">
        <w:r>
          <w:rPr>
            <w:color w:val="245B43"/>
            <w:u w:val="single"/>
          </w:rPr>
          <w:t>CC BY-SA 4.0</w:t>
        </w:r>
      </w:hyperlink>
      <w:r>
        <w:t>. Resized proportionally.</w:t>
      </w:r>
    </w:p>
    <w:p>
      <w:pPr>
        <w:pStyle w:val="Heading2"/>
      </w:pPr>
      <w:r>
        <w:t>Food web role</w:t>
      </w:r>
    </w:p>
    <w:p>
      <w:r>
        <w:rPr>
          <w:b w:val="0"/>
          <w:i w:val="0"/>
        </w:rPr>
        <w:t>Carpenter ants contribute to woodland food webs as predators and scavengers and as food for other animals. Their galleries modify dead or softened wood, but they do not digest cellulose in the way wood-feeding termites do. [Carpenter]</w:t>
      </w:r>
    </w:p>
    <w:p>
      <w:pPr>
        <w:pStyle w:val="Heading2"/>
      </w:pPr>
      <w:r>
        <w:t>Relationships with plants</w:t>
      </w:r>
    </w:p>
    <w:p>
      <w:r>
        <w:rPr>
          <w:b w:val="0"/>
          <w:i w:val="0"/>
        </w:rPr>
        <w:t>Workers on trunks may be hunting insects or collecting honeydew. Their presence on a living tree is not proof that the tree is dying; nesting in damaged wood and foraging on foliage are different observations.</w:t>
      </w:r>
    </w:p>
    <w:p>
      <w:r>
        <w:rPr>
          <w:b w:val="0"/>
          <w:i w:val="0"/>
        </w:rPr>
        <w:t>When ants visit a plant, distinguish feeding on plant tissue, gathering nectar or honeydew, hunting, and simple passage. Seeing ants on a flower does not establish effective pollination. [UC]</w:t>
      </w:r>
    </w:p>
    <w:p>
      <w:pPr>
        <w:pStyle w:val="Heading2"/>
      </w:pPr>
      <w:r>
        <w:t>Colony and community</w:t>
      </w:r>
    </w:p>
    <w:p>
      <w:r>
        <w:rPr>
          <w:b w:val="0"/>
          <w:i w:val="0"/>
        </w:rPr>
        <w:t>Colonies include differently sized female workers, a queen, brood, and seasonal winged reproductives. A colony may use a main nest and additional satellite nests. Their moisture conditions and occupants can differ.</w:t>
      </w:r>
    </w:p>
    <w:p>
      <w:r>
        <w:rPr>
          <w:b w:val="0"/>
          <w:i w:val="0"/>
        </w:rPr>
        <w:t>Native woodland ant; established nests can damage building wood. Morris lists Tippecanoe County under an older Camponotus pennsylvanicus combination. The record supports historical local occurrence, not a current nest location. [IN]</w:t>
      </w:r>
    </w:p>
    <w:p>
      <w:pPr>
        <w:pStyle w:val="Heading2"/>
      </w:pPr>
      <w:r>
        <w:t>A question to investigate</w:t>
      </w:r>
    </w:p>
    <w:p>
      <w:r>
        <w:rPr>
          <w:b w:val="0"/>
          <w:i w:val="0"/>
        </w:rPr>
        <w:t>Are workers merely crossing the trunk, collecting food on foliage, or entering a specific cavity?</w:t>
      </w:r>
    </w:p>
    <w:p>
      <w:r>
        <w:rPr>
          <w:b w:val="0"/>
          <w:i w:val="0"/>
        </w:rPr>
        <w:t>Observe for five minutes on at least three occasions. Record what workers carry or contact, note the weather, and include a nearby comparison area. Visible traffic is not a measure of total colony size.</w:t>
      </w:r>
    </w:p>
    <w:p>
      <w:pPr>
        <w:pStyle w:val="Heading2"/>
      </w:pPr>
      <w:r>
        <w:t>Management implication</w:t>
      </w:r>
    </w:p>
    <w:p>
      <w:r>
        <w:rPr>
          <w:b w:val="0"/>
          <w:i w:val="0"/>
        </w:rPr>
        <w:t>Document activity and wood debris, repair water problems, and seek professional assessment when a building nest is suspected. Treating visible foragers alone can leave the main nest and satellites intact.</w:t>
      </w:r>
    </w:p>
    <w:p>
      <w:r>
        <w:rPr>
          <w:b w:val="0"/>
          <w:i w:val="0"/>
        </w:rPr>
        <w:t>Retain the observation record after any action. Compare the original problem, plant condition, and ant traffic rather than using the disappearance of every ant as the goal. [UC]</w:t>
      </w:r>
    </w:p>
    <w:p>
      <w:pPr>
        <w:pStyle w:val="Heading2"/>
      </w:pPr>
      <w:r>
        <w:t>Useful terms</w:t>
      </w:r>
    </w:p>
    <w:p>
      <w:r>
        <w:rPr>
          <w:b w:val="0"/>
          <w:i w:val="0"/>
        </w:rPr>
        <w:t>Honeydew is sugary excretion from sap-feeding insects. Brood means eggs, larvae, and pupae. A mutualism benefits both partners.</w:t>
      </w:r>
    </w:p>
    <w:p>
      <w:pPr>
        <w:pStyle w:val="Heading2"/>
      </w:pPr>
      <w:r>
        <w:t>Related Information Sheets</w:t>
      </w:r>
    </w:p>
    <w:p>
      <w:r>
        <w:rPr>
          <w:b w:val="0"/>
          <w:i w:val="0"/>
        </w:rPr>
        <w:t xml:space="preserve">Added September 22, 2026 · </w:t>
      </w:r>
      <w:hyperlink r:id="rId20">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1">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Black Carpenter Ant — Environment</w:t>
      </w:r>
    </w:p>
    <w:p>
      <w:r>
        <w:rPr>
          <w:b/>
        </w:rPr>
        <w:t xml:space="preserve">Online Information Sheet: </w:t>
      </w:r>
      <w:hyperlink r:id="rId25">
        <w:r>
          <w:rPr>
            <w:color w:val="245B43"/>
            <w:u w:val="single"/>
          </w:rPr>
          <w:t>planteducationproject.com/animals/black-carpenter-ant/environment/</w:t>
        </w:r>
      </w:hyperlink>
    </w:p>
    <w:p>
      <w:r>
        <w:rPr>
          <w:b w:val="0"/>
          <w:i w:val="0"/>
        </w:rPr>
        <w:t>🌿 Environment Information Sheet</w:t>
      </w:r>
    </w:p>
    <w:p>
      <w:r>
        <w:rPr>
          <w:b w:val="0"/>
          <w:i/>
        </w:rPr>
        <w:t>Camponotus pennsylvanicus</w:t>
      </w:r>
    </w:p>
    <w:p>
      <w:r>
        <w:rPr>
          <w:b w:val="0"/>
          <w:i w:val="0"/>
        </w:rPr>
        <w:t>The nest environment explains where this ant can live and how it reaches food. Compare soil, shelter, moisture, and nearby vegetation before treating an entire landscape as one habitat.</w:t>
      </w:r>
    </w:p>
    <w:p>
      <w:pPr>
        <w:jc w:val="center"/>
      </w:pPr>
      <w:r>
        <w:drawing>
          <wp:inline xmlns:a="http://schemas.openxmlformats.org/drawingml/2006/main" xmlns:pic="http://schemas.openxmlformats.org/drawingml/2006/picture">
            <wp:extent cx="5120640" cy="3413760"/>
            <wp:docPr id="5" name="Picture 5"/>
            <wp:cNvGraphicFramePr>
              <a:graphicFrameLocks noChangeAspect="1"/>
            </wp:cNvGraphicFramePr>
            <a:graphic>
              <a:graphicData uri="http://schemas.openxmlformats.org/drawingml/2006/picture">
                <pic:pic>
                  <pic:nvPicPr>
                    <pic:cNvPr id="0" name="6dd72f1e04f2fd43a095b319.jpg"/>
                    <pic:cNvPicPr/>
                  </pic:nvPicPr>
                  <pic:blipFill>
                    <a:blip r:embed="rId15"/>
                    <a:stretch>
                      <a:fillRect/>
                    </a:stretch>
                  </pic:blipFill>
                  <pic:spPr>
                    <a:xfrm>
                      <a:off x="0" y="0"/>
                      <a:ext cx="5120640" cy="3413760"/>
                    </a:xfrm>
                    <a:prstGeom prst="rect"/>
                  </pic:spPr>
                </pic:pic>
              </a:graphicData>
            </a:graphic>
          </wp:inline>
        </w:drawing>
      </w:r>
    </w:p>
    <w:p>
      <w:pPr>
        <w:pStyle w:val="Caption"/>
      </w:pPr>
      <w:r>
        <w:rPr>
          <w:b w:val="0"/>
          <w:i w:val="0"/>
        </w:rPr>
        <w:t>Turkey Run SP, IN 2.jpg • Daniel Schwen • CC BY-SA 4.0</w:t>
      </w:r>
      <w:r>
        <w:br/>
      </w:r>
      <w:r>
        <w:t xml:space="preserve">Photograph: Daniel Schwen · </w:t>
      </w:r>
      <w:hyperlink r:id="rId19">
        <w:r>
          <w:rPr>
            <w:color w:val="245B43"/>
            <w:u w:val="single"/>
          </w:rPr>
          <w:t>Original source</w:t>
        </w:r>
      </w:hyperlink>
      <w:r>
        <w:t xml:space="preserve"> · </w:t>
      </w:r>
      <w:hyperlink r:id="rId14">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6" name="Picture 6"/>
            <wp:cNvGraphicFramePr>
              <a:graphicFrameLocks noChangeAspect="1"/>
            </wp:cNvGraphicFramePr>
            <a:graphic>
              <a:graphicData uri="http://schemas.openxmlformats.org/drawingml/2006/picture">
                <pic:pic>
                  <pic:nvPicPr>
                    <pic:cNvPr id="0" name="283fcc6808ca00b87a983a57.jpg"/>
                    <pic:cNvPicPr/>
                  </pic:nvPicPr>
                  <pic:blipFill>
                    <a:blip r:embed="rId18"/>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6">
        <w:r>
          <w:rPr>
            <w:color w:val="245B43"/>
            <w:u w:val="single"/>
          </w:rPr>
          <w:t>Original source</w:t>
        </w:r>
      </w:hyperlink>
      <w:r>
        <w:t xml:space="preserve"> · </w:t>
      </w:r>
      <w:hyperlink r:id="rId27">
        <w:r>
          <w:rPr>
            <w:color w:val="245B43"/>
            <w:u w:val="single"/>
          </w:rPr>
          <w:t>Public domain</w:t>
        </w:r>
      </w:hyperlink>
      <w:r>
        <w:t>. Resized proportionally.</w:t>
      </w:r>
    </w:p>
    <w:p>
      <w:pPr>
        <w:pStyle w:val="Heading2"/>
      </w:pPr>
      <w:r>
        <w:t>Habitat and shelter</w:t>
      </w:r>
    </w:p>
    <w:p>
      <w:r>
        <w:rPr>
          <w:b w:val="0"/>
          <w:i w:val="0"/>
        </w:rPr>
        <w:t>Hollow or decaying trees, stumps, logs, and sometimes structural timbers. Damp wood often supports the main nest; satellite nests may occupy drier spaces. [ID]</w:t>
      </w:r>
    </w:p>
    <w:p>
      <w:pPr>
        <w:pStyle w:val="Heading2"/>
      </w:pPr>
      <w:r>
        <w:t>Water and the nesting substrate</w:t>
      </w:r>
    </w:p>
    <w:p>
      <w:r>
        <w:rPr>
          <w:b w:val="0"/>
          <w:i w:val="0"/>
        </w:rPr>
        <w:t>Water leakage and wood decay make building material easier to excavate. Examine the water source as well as the insect evidence; new sawdust does not identify the original cause of deterioration.</w:t>
      </w:r>
    </w:p>
    <w:p>
      <w:pPr>
        <w:pStyle w:val="Heading2"/>
      </w:pPr>
      <w:r>
        <w:t>Food routes and vegetation</w:t>
      </w:r>
    </w:p>
    <w:p>
      <w:r>
        <w:rPr>
          <w:b w:val="0"/>
          <w:i w:val="0"/>
        </w:rPr>
        <w:t>Collects honeydew and other sugary liquids and eats live or dead insects. Foraging workers may travel from a tree nest into a house without nesting inside.</w:t>
      </w:r>
    </w:p>
    <w:p>
      <w:r>
        <w:rPr>
          <w:b w:val="0"/>
          <w:i w:val="0"/>
        </w:rPr>
        <w:t>Workers on trunks may be hunting insects or collecting honeydew. Their presence on a living tree is not proof that the tree is dying; nesting in damaged wood and foraging on foliage are different observations. [ID, UC]</w:t>
      </w:r>
    </w:p>
    <w:p>
      <w:pPr>
        <w:pStyle w:val="Heading2"/>
      </w:pPr>
      <w:r>
        <w:t>Comparison with Lafayette</w:t>
      </w:r>
    </w:p>
    <w:p>
      <w:r>
        <w:rPr>
          <w:b w:val="0"/>
          <w:i w:val="0"/>
        </w:rPr>
        <w:t>A hollow tree, damp sill, and insulated wall can have very different temperature and moisture regimes. An airport minimum temperature does not equal the temperature in any of those nests.</w:t>
      </w:r>
    </w:p>
    <w:p>
      <w:r>
        <w:rPr>
          <w:b w:val="0"/>
          <w:i w:val="0"/>
        </w:rPr>
        <w:t>Morris lists Tippecanoe County under an older Camponotus pennsylvanicus combination. The record supports historical local occurrence, not a current nest location. [IN]</w:t>
      </w:r>
    </w:p>
    <w:p>
      <w:pPr>
        <w:pStyle w:val="Heading2"/>
      </w:pPr>
      <w:r>
        <w:t>Manage the setting</w:t>
      </w:r>
    </w:p>
    <w:p>
      <w:r>
        <w:rPr>
          <w:b w:val="0"/>
          <w:i w:val="0"/>
        </w:rPr>
        <w:t>Retain safe dead wood in suitable natural areas, but keep stored firewood and damp debris away from the building. Inspect window frames, roof leaks, plumbing areas, and wood in contact with soil.</w:t>
      </w:r>
    </w:p>
    <w:p>
      <w:r>
        <w:rPr>
          <w:b w:val="0"/>
          <w:i w:val="0"/>
        </w:rPr>
        <w:t>Keep a record of the actual conflict: indoor food contamination, structural nesting, a blocked path, or no practical problem. An outdoor ant population does not by itself call for control. [PU]</w:t>
      </w:r>
    </w:p>
    <w:p>
      <w:pPr>
        <w:pStyle w:val="Heading2"/>
      </w:pPr>
      <w:r>
        <w:t>A simple habitat observation</w:t>
      </w:r>
    </w:p>
    <w:p>
      <w:r>
        <w:rPr>
          <w:b w:val="0"/>
          <w:i w:val="0"/>
        </w:rPr>
        <w:t>Choose two nearby places with contrasting cover. Observe each for five minutes at a similar time of day. Record shade, substrate, wetness, visible entrances, and the number of workers crossing a fixed line. Repeat on several days; a trail count measures visible traffic, not colony size.</w:t>
      </w:r>
    </w:p>
    <w:p>
      <w:pPr>
        <w:pStyle w:val="Heading2"/>
      </w:pPr>
      <w:r>
        <w:t>Related Information Sheets</w:t>
      </w:r>
    </w:p>
    <w:p>
      <w:r>
        <w:rPr>
          <w:b w:val="0"/>
          <w:i w:val="0"/>
        </w:rPr>
        <w:t xml:space="preserve">Added September 22, 2026 · </w:t>
      </w:r>
      <w:hyperlink r:id="rId20">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1">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black-carpenter-ant/" TargetMode="External"/><Relationship Id="rId12" Type="http://schemas.openxmlformats.org/officeDocument/2006/relationships/image" Target="media/image1.jpg"/><Relationship Id="rId13" Type="http://schemas.openxmlformats.org/officeDocument/2006/relationships/hyperlink" Target="https://commons.wikimedia.org/wiki/File:Camponotus_pennsylvanicus_P1330519a.jpg" TargetMode="External"/><Relationship Id="rId14" Type="http://schemas.openxmlformats.org/officeDocument/2006/relationships/hyperlink" Target="https://creativecommons.org/licenses/by-sa/4.0/" TargetMode="External"/><Relationship Id="rId15" Type="http://schemas.openxmlformats.org/officeDocument/2006/relationships/image" Target="media/image2.jpg"/><Relationship Id="rId16" Type="http://schemas.openxmlformats.org/officeDocument/2006/relationships/hyperlink" Target="https://commons.wikimedia.org/wiki/File:Carpenter_ant_drone_wiki.jpg" TargetMode="External"/><Relationship Id="rId17" Type="http://schemas.openxmlformats.org/officeDocument/2006/relationships/hyperlink" Target="https://creativecommons.org/licenses/by-sa/2.5/" TargetMode="External"/><Relationship Id="rId18" Type="http://schemas.openxmlformats.org/officeDocument/2006/relationships/image" Target="media/image3.jpg"/><Relationship Id="rId19" Type="http://schemas.openxmlformats.org/officeDocument/2006/relationships/hyperlink" Target="https://commons.wikimedia.org/wiki/File:Turkey_Run_SP,_IN_2.jpg" TargetMode="External"/><Relationship Id="rId20" Type="http://schemas.openxmlformats.org/officeDocument/2006/relationships/hyperlink" Target="https://planteducationproject.com/information-sheets/master-index/" TargetMode="External"/><Relationship Id="rId21" Type="http://schemas.openxmlformats.org/officeDocument/2006/relationships/hyperlink" Target="https://creativecommons.org/licenses/by-nc/4.0/" TargetMode="External"/><Relationship Id="rId22" Type="http://schemas.openxmlformats.org/officeDocument/2006/relationships/hyperlink" Target="https://planteducationproject.com/animals/black-carpenter-ant/climate/" TargetMode="External"/><Relationship Id="rId23" Type="http://schemas.openxmlformats.org/officeDocument/2006/relationships/hyperlink" Target="https://planteducationproject.com/animals/black-carpenter-ant/ecology/" TargetMode="External"/><Relationship Id="rId24" Type="http://schemas.openxmlformats.org/officeDocument/2006/relationships/image" Target="media/image4.jpg"/><Relationship Id="rId25" Type="http://schemas.openxmlformats.org/officeDocument/2006/relationships/hyperlink" Target="https://planteducationproject.com/animals/black-carpenter-ant/environment/" TargetMode="External"/><Relationship Id="rId26" Type="http://schemas.openxmlformats.org/officeDocument/2006/relationships/hyperlink" Target="https://commons.wikimedia.org/wiki/File:Hoosier_Prairie_P7150009.jpg" TargetMode="External"/><Relationship Id="rId27" Type="http://schemas.openxmlformats.org/officeDocument/2006/relationships/hyperlink" Target="https://creativecommons.org/publicdomain/mark/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black carpenter ant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