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533D"/>
          <w:sz w:val="44"/>
        </w:rPr>
        <w:t>SIBERIAN IRIS</w:t>
      </w:r>
    </w:p>
    <w:p>
      <w:pPr>
        <w:jc w:val="center"/>
      </w:pPr>
      <w:r>
        <w:rPr>
          <w:i/>
        </w:rPr>
        <w:t>Iris sibirica L.  |  Iridaceae  |  Herbaceous perennial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237058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55829869-295b-40bd-b70b-3de55ddf5fa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370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SUN  •  MOIST SOIL  •  LATE SPRING BLOOM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Light</w:t>
            </w:r>
          </w:p>
        </w:tc>
        <w:tc>
          <w:tcPr>
            <w:tcW w:type="dxa" w:w="5184"/>
          </w:tcPr>
          <w:p>
            <w:r>
              <w:t>Full sun for best bloom; partial shade tolerated.</w:t>
            </w:r>
          </w:p>
        </w:tc>
      </w:tr>
      <w:tr>
        <w:tc>
          <w:tcPr>
            <w:tcW w:type="dxa" w:w="5184"/>
          </w:tcPr>
          <w:p>
            <w:r>
              <w:t>Water</w:t>
            </w:r>
          </w:p>
        </w:tc>
        <w:tc>
          <w:tcPr>
            <w:tcW w:type="dxa" w:w="5184"/>
          </w:tcPr>
          <w:p>
            <w:r>
              <w:t>Keep evenly moist during spring growth; established plants tolerate some dry spells.</w:t>
            </w:r>
          </w:p>
        </w:tc>
      </w:tr>
      <w:tr>
        <w:tc>
          <w:tcPr>
            <w:tcW w:type="dxa" w:w="5184"/>
          </w:tcPr>
          <w:p>
            <w:r>
              <w:t>Size</w:t>
            </w:r>
          </w:p>
        </w:tc>
        <w:tc>
          <w:tcPr>
            <w:tcW w:type="dxa" w:w="5184"/>
          </w:tcPr>
          <w:p>
            <w:r>
              <w:t>Usually 2–3 ft tall; clumps about 2–3 ft wide. Cultivars vary.</w:t>
            </w:r>
          </w:p>
        </w:tc>
      </w:tr>
      <w:tr>
        <w:tc>
          <w:tcPr>
            <w:tcW w:type="dxa" w:w="5184"/>
          </w:tcPr>
          <w:p>
            <w:r>
              <w:t>Care</w:t>
            </w:r>
          </w:p>
        </w:tc>
        <w:tc>
          <w:tcPr>
            <w:tcW w:type="dxa" w:w="5184"/>
          </w:tcPr>
          <w:p>
            <w:r>
              <w:t>Divide crowded clumps every 3–5 years or when flowering declines. Leave foliage until it yellows.</w:t>
            </w:r>
          </w:p>
        </w:tc>
      </w:tr>
      <w:tr>
        <w:tc>
          <w:tcPr>
            <w:tcW w:type="dxa" w:w="5184"/>
          </w:tcPr>
          <w:p>
            <w:r>
              <w:t>Native status</w:t>
            </w:r>
          </w:p>
        </w:tc>
        <w:tc>
          <w:tcPr>
            <w:tcW w:type="dxa" w:w="5184"/>
          </w:tcPr>
          <w:p>
            <w:r>
              <w:t>Not native to Indiana, the Midwest, or North America; native to Europe and temperate Asia.</w:t>
            </w:r>
          </w:p>
        </w:tc>
      </w:tr>
      <w:tr>
        <w:tc>
          <w:tcPr>
            <w:tcW w:type="dxa" w:w="5184"/>
          </w:tcPr>
          <w:p>
            <w:r>
              <w:t>Safety</w:t>
            </w:r>
          </w:p>
        </w:tc>
        <w:tc>
          <w:tcPr>
            <w:tcW w:type="dxa" w:w="5184"/>
          </w:tcPr>
          <w:p>
            <w:r>
              <w:t>Iris is toxic to dogs, cats, and horses, especially rhizomes. Avoid ingestion; sap may irritate skin.</w:t>
            </w:r>
          </w:p>
        </w:tc>
      </w:tr>
      <w:tr>
        <w:tc>
          <w:tcPr>
            <w:tcW w:type="dxa" w:w="5184"/>
          </w:tcPr>
          <w:p>
            <w:r>
              <w:t>Soil mix</w:t>
            </w:r>
          </w:p>
        </w:tc>
        <w:tc>
          <w:tcPr>
            <w:tcW w:type="dxa" w:w="5184"/>
          </w:tcPr>
          <w:p>
            <w:r>
              <w:t>Garden bed: moisture-retentive soil amended with finished compost if needed. Container: 2 parts potting mix + 1 part compost + 1 part perlite or fine bark; keep moist.</w:t>
            </w:r>
          </w:p>
        </w:tc>
      </w:tr>
    </w:tbl>
    <w:p>
      <w:pPr>
        <w:jc w:val="center"/>
      </w:pPr>
      <w:r>
        <w:rPr>
          <w:i/>
        </w:rPr>
        <w:t>Plant Education Project  |  Information Sheet companion  |  Research checked 12 October 2026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